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招标文件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20"/>
          <w:sz w:val="32"/>
        </w:rPr>
        <w:t xml:space="preserve"> </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项目名称：宝应县人民医院院前急救信息平台采购项目</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JSZC-321023-SHGK-G2025-0163</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代理机构编号：1214-254111530WDX</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2025年12月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0"/>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10"/>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6</w:t>
      </w:r>
      <w:r/>
    </w:p>
    <w:p>
      <w:pPr>
        <w:numPr>
          <w:ilvl w:val="0"/>
          <w:numId w:val="10"/>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 16</w:t>
      </w:r>
      <w:r/>
    </w:p>
    <w:p>
      <w:pPr>
        <w:numPr>
          <w:ilvl w:val="0"/>
          <w:numId w:val="10"/>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 21</w:t>
      </w:r>
      <w:r/>
    </w:p>
    <w:p>
      <w:pPr>
        <w:numPr>
          <w:ilvl w:val="0"/>
          <w:numId w:val="10"/>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 29</w:t>
      </w:r>
      <w:r/>
    </w:p>
    <w:p>
      <w:pPr>
        <w:numPr>
          <w:ilvl w:val="0"/>
          <w:numId w:val="10"/>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 38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受[宝应县人民医院]的委托，江苏苏豪创新科技集团高科有限公司就[宝应县人民医院院前急救信息平台采购项目](项目编号：JSZC-321023-SHGK-G2025-0163)项目进行公开招标采购，欢迎符合条件的供应商投标。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(宝应县人民医院院前急救信息平台采购项目)招标项目的潜在投标人可在</w:t>
      </w:r>
      <w:r>
        <w:rPr>
          <w:rFonts w:ascii="SimSun" w:hAnsi="SimSun" w:eastAsia="SimSun" w:cs="SimSun"/>
          <w:color w:val="000000"/>
          <w:sz w:val="24"/>
          <w:u w:val="single"/>
        </w:rPr>
        <w:t xml:space="preserve">“江苏政府采购网、扬州市政府采购网”自行免费下载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2025年12月24日10时整（</w:t>
      </w:r>
      <w:r>
        <w:rPr>
          <w:rFonts w:ascii="SimSun" w:hAnsi="SimSun" w:eastAsia="SimSun" w:cs="SimSun"/>
          <w:color w:val="000000"/>
          <w:sz w:val="24"/>
        </w:rPr>
        <w:t xml:space="preserve">北京时间）前递交投标文件。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1.项目编号：JSZC-321023-SHGK-G2025-0163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2.项目名称：宝应县人民医院院前急救信息平台采购项目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3.预算金额：260万元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4.本项目设定最高限价，最高限价为260万元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3376"/>
        <w:gridCol w:w="1121"/>
        <w:gridCol w:w="1997"/>
        <w:gridCol w:w="1571"/>
      </w:tblGrid>
      <w:tr>
        <w:trPr>
          <w:trHeight w:val="3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是否接受进口产品投标</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院前急救信息平台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w:t>
            </w:r>
            <w:r>
              <w:rPr>
                <w:rFonts w:ascii="SimSun" w:hAnsi="SimSun" w:eastAsia="SimSun" w:cs="SimSun"/>
                <w:color w:val="000000"/>
                <w:spacing w:val="-5"/>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6.合同履行期限：以签订合同为准</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在 “信用中国”网站（www.creditchina.gov.cn）未被列入失信被执行人或重大税收违法案件当事人名单，在“中国政府采购网"(</w:t>
      </w:r>
      <w:hyperlink r:id="rId12" w:tooltip="http://www.ccgp.gov.cn/" w:history="1">
        <w:r>
          <w:rPr>
            <w:rStyle w:val="742"/>
            <w:rFonts w:ascii="SimSun" w:hAnsi="SimSun" w:eastAsia="SimSun" w:cs="SimSun"/>
            <w:i/>
            <w:color w:val="0000ff"/>
            <w:sz w:val="24"/>
            <w:u w:val="single"/>
          </w:rPr>
          <w:t xml:space="preserve">www.ccgp.gov.cn</w:t>
        </w:r>
      </w:hyperlink>
      <w:r>
        <w:rPr>
          <w:rFonts w:ascii="SimSun" w:hAnsi="SimSun" w:eastAsia="SimSun" w:cs="SimSun"/>
          <w:i/>
          <w:color w:val="000000"/>
          <w:sz w:val="24"/>
          <w:u w:val="single"/>
        </w:rPr>
        <w:t xml:space="preserve">)未被列入政府采购严重失信行为记录名单，及其他不符合《中华人民共和国政府采购法》第二十二条规定条件的信用记录。（投标文件中无需提供证明材料）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i/>
          <w:color w:val="000000"/>
          <w:sz w:val="24"/>
          <w:u w:val="single"/>
        </w:rPr>
        <w:t xml:space="preserve">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2.方式：在“江苏政府采购网、扬州市政府采购网”自行免费下载招标文件。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2025年12月24日10时整</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w:t>
      </w:r>
      <w:r>
        <w:rPr>
          <w:rFonts w:ascii="SimSun" w:hAnsi="SimSun" w:eastAsia="SimSun" w:cs="SimSun"/>
          <w:b/>
          <w:color w:val="000000"/>
          <w:sz w:val="24"/>
        </w:rPr>
        <w:t xml:space="preserve">4d8.shtml，请按《操作手册》要求制作、上传电子投标文件。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有关本次招标的事项若存在变动或修改，敬请及时关注江苏苏豪创新科技集团高科有限公司在“江苏政府采购网”、“扬州市政府采购网”发布的更正公告。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人：宝应县人民医院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联系地址：宝应县安宜东路3号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人：闵科长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联系电话：0514-88200272</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联系地址：南京市雨花台区软件大道21号苏豪国际广场北园（原舜天集团）C座110室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人：黄琳霖、朱笑青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联系电话：025-52875968、025-52875975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项目联系人：吴冬晓、魏欣倩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电话：025-52874082、025-52875946</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账号：4301013119100888895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在投标截止时间前，招标代理机构可以对招标文件进行修改。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招标代理机构有权按照法定的要求推迟投标截止日期和开标日期。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招标文件的修改将在江苏政府采购网、扬州市政府采购网公布，补充文件将作为招标文件的组成部分，并对投标人具有约束力。</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9.1投标人提交的投标文件以及投标人与招标代理机构就有关投标的所有来往通知、函件和文件均应使用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投标人编写的投标文件应包括资格证明文件、符合性证明文件、投标分项报价表、技术要求响应及偏离表、商务合同响应及偏离表、其他证明文件、投标函、开标一览表等部分。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、技术要求响应及偏离表、商务合同响应及偏离表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投标有效期为招标代理机构规定的开标之日后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招标代理机构可以按照规定，通过修改招标文件酌情延长投标截止时间，在此情况下，投标人的所有权利和义务以及投标人受制的截止时间均应以延长后新的截止时间为准。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20.1招标代理机构拒绝接收在其规定的投标截止时间后上传的任何投标文件。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w:t>
      </w:r>
      <w:r>
        <w:rPr>
          <w:rFonts w:ascii="SimSun" w:hAnsi="SimSun" w:eastAsia="SimSun" w:cs="SimSun"/>
          <w:b/>
          <w:color w:val="000000"/>
          <w:sz w:val="24"/>
        </w:rPr>
        <w:t xml:space="preserve"> </w:t>
      </w:r>
      <w:r>
        <w:rPr>
          <w:rFonts w:ascii="SimSun" w:hAnsi="SimSun" w:eastAsia="SimSun" w:cs="SimSun"/>
          <w:color w:val="000000"/>
          <w:sz w:val="24"/>
        </w:rPr>
        <w:t xml:space="preserve">开标后，招标代理机构将立即组织评标委员会（以下简称评委会）进行评标。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招标代理机构和评标委员会不向未中标的投标人解释未中标原因，也不公布评标过程中的相关细节。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接到评委会澄清、说明和补正要求的投标人如未按规定做出澄清、说明和补正，其风险由投标人自行承担。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采购人在进行资格性审查的同时，将在“信用中国”网站（www.creditchina.gov.cn）和“中国政府采购网"(www.ccgp.gov.cn)查询投标人的信用记录，以确定投标人是否具备投标资格。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未通过资格审查或符合性审查的投标人，招标代理机构将在苏采云系统中告知未通过资格审查或符合性审查的原因，评标结束后，招标代理机构将不再告知未通过资格审查和符合性审查的原因。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26.6投标人在开、评标全过程中应保持通讯畅通，及时登录苏采云系统查阅、答复相关信息，并安排专人与招标代理机构及评标委员会联系。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招标代理机构将在“江苏政府采购网”、“扬州市政府采购网”发布中标公告，公告期限为1个工作日。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28.4.2向采购人、招标代理机构行贿或者提供其他不正当利益的。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采购人及招标代理机构只接收以纸质原件形式送达的质疑,建议供应商尽量通过邮寄方式提交质疑（采购人和招标代理机构不接受未填写快递运单的快件）。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招标代理机构质疑接受人及联系方式详见招标文件第一章。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31.l中标人应当在中标通知书发出之日起十五日内，按照招标文件确定的事项与采购人签订政府采购合同。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以下为中标后签定本项目合同的通用条款，中标人不得提出实质性的修改，关于专用条款将由采购人与中标人结合本项目具体情况协商后签订。</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_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公开招标的结果，签署本合同。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标的名称：</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标的质量：</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标的数量（规模）：</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履行时间（期限）：</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履行地点：</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履行方式：</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包装方式：</w:t>
      </w:r>
      <w:r>
        <w:rPr>
          <w:rFonts w:ascii="Times New Roman" w:hAnsi="Times New Roman" w:eastAsia="Times New Roman" w:cs="Times New Roman"/>
          <w:color w:val="000000"/>
          <w:sz w:val="24"/>
        </w:rPr>
        <w:t xml:space="preserve">______</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ascii="Times New Roman" w:hAnsi="Times New Roman" w:eastAsia="Times New Roman" w:cs="Times New Roma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五、产权担保</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乙方交纳人民币0元作为本合同的履约保证金。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备注：若收取履约保证金：双方签订合同后</w:t>
      </w:r>
      <w:r>
        <w:rPr>
          <w:rFonts w:ascii="Calibri" w:hAnsi="Calibri" w:eastAsia="Calibri" w:cs="Calibri"/>
          <w:color w:val="000000"/>
          <w:sz w:val="24"/>
        </w:rPr>
        <w:t xml:space="preserve">5</w:t>
      </w:r>
      <w:r>
        <w:rPr>
          <w:rFonts w:ascii="SimSun" w:hAnsi="SimSun" w:eastAsia="SimSun" w:cs="SimSun"/>
          <w:color w:val="000000"/>
          <w:sz w:val="24"/>
        </w:rPr>
        <w:t xml:space="preserve">日内，乙方可以自主选择支票、汇票、本票、保函等非现金形式缴纳中标金额的  作为本合同的履约保证金。（不得超过</w:t>
      </w:r>
      <w:r>
        <w:rPr>
          <w:rFonts w:ascii="Calibri" w:hAnsi="Calibri" w:eastAsia="Calibri" w:cs="Calibri"/>
          <w:color w:val="000000"/>
          <w:sz w:val="24"/>
        </w:rPr>
        <w:t xml:space="preserve">10%</w:t>
      </w:r>
      <w:r>
        <w:rPr>
          <w:rFonts w:ascii="SimSun" w:hAnsi="SimSun" w:eastAsia="SimSun" w:cs="SimSun"/>
          <w:color w:val="000000"/>
          <w:sz w:val="24"/>
        </w:rPr>
        <w:t xml:space="preserve">）</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w:t>
      </w:r>
      <w:r>
        <w:rPr>
          <w:rFonts w:ascii="SimSun" w:hAnsi="SimSun" w:eastAsia="SimSun" w:cs="SimSun"/>
          <w:color w:val="000000"/>
          <w:sz w:val="24"/>
        </w:rPr>
        <w:t xml:space="preserve">合同履行结束后，甲方应及时退还缴纳的履约保证金。</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w:t>
      </w:r>
      <w:r>
        <w:rPr>
          <w:rFonts w:ascii="SimSun" w:hAnsi="SimSun" w:eastAsia="SimSun" w:cs="SimSun"/>
          <w:color w:val="000000"/>
          <w:sz w:val="24"/>
        </w:rPr>
        <w:t xml:space="preserve">履约保证金退还方式：按照乙方缴纳的方式进行退还。</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6.3</w:t>
      </w:r>
      <w:r>
        <w:rPr>
          <w:rFonts w:ascii="SimSun" w:hAnsi="SimSun" w:eastAsia="SimSun" w:cs="SimSun"/>
          <w:color w:val="000000"/>
          <w:sz w:val="24"/>
        </w:rPr>
        <w:t xml:space="preserve">履约保证金退还时间：项目验收合格后</w:t>
      </w:r>
      <w:r>
        <w:rPr>
          <w:rFonts w:ascii="Calibri" w:hAnsi="Calibri" w:eastAsia="Calibri" w:cs="Calibri"/>
          <w:color w:val="000000"/>
          <w:sz w:val="24"/>
        </w:rPr>
        <w:t xml:space="preserve">15</w:t>
      </w:r>
      <w:r>
        <w:rPr>
          <w:rFonts w:ascii="SimSun" w:hAnsi="SimSun" w:eastAsia="SimSun" w:cs="SimSun"/>
          <w:color w:val="000000"/>
          <w:sz w:val="24"/>
        </w:rPr>
        <w:t xml:space="preserve">日内。</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6.4</w:t>
      </w:r>
      <w:r>
        <w:rPr>
          <w:rFonts w:ascii="SimSun" w:hAnsi="SimSun" w:eastAsia="SimSun" w:cs="SimSun"/>
          <w:color w:val="000000"/>
          <w:sz w:val="24"/>
        </w:rPr>
        <w:t xml:space="preserve">履约保证金退还条件：乙方在履约期间未给甲方造成损失或造成的损失经扣除后存有结余的。</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6.5</w:t>
      </w:r>
      <w:r>
        <w:rPr>
          <w:rFonts w:ascii="SimSun" w:hAnsi="SimSun" w:eastAsia="SimSun" w:cs="SimSun"/>
          <w:color w:val="000000"/>
          <w:sz w:val="24"/>
        </w:rPr>
        <w:t xml:space="preserve">履约保证金不予退还的情形：履约保证金额不足以弥补乙方违约造成甲方损失的。</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6.6</w:t>
      </w:r>
      <w:r>
        <w:rPr>
          <w:rFonts w:ascii="SimSun" w:hAnsi="SimSun" w:eastAsia="SimSun" w:cs="SimSun"/>
          <w:color w:val="000000"/>
          <w:sz w:val="24"/>
        </w:rPr>
        <w:t xml:space="preserve">履约保证金逾期退还的违约责任：按中国人民银行同期贷款基准利率上浮</w:t>
      </w:r>
      <w:r>
        <w:rPr>
          <w:rFonts w:ascii="Calibri" w:hAnsi="Calibri" w:eastAsia="Calibri" w:cs="Calibri"/>
          <w:color w:val="000000"/>
          <w:sz w:val="24"/>
        </w:rPr>
        <w:t xml:space="preserve">20%</w:t>
      </w:r>
      <w:r>
        <w:rPr>
          <w:rFonts w:ascii="SimSun" w:hAnsi="SimSun" w:eastAsia="SimSun" w:cs="SimSun"/>
          <w:color w:val="000000"/>
          <w:sz w:val="24"/>
        </w:rPr>
        <w:t xml:space="preserve">后的利率支付超期资金占用费，但因乙方自身原因导致无法及时退还的除外。不收取该段删除）</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八、合同转包或分包</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乙方不得将合同标的转包给他人履行。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乙方不得将合同标的分包给他人履行。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乙方如有转包或未经甲方同意的分包行为，甲方有权给予终止合同。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九、合同款项支付</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合同签订后且乙方向甲方出具发票后，甲方10个工作日内支付合同款的30%，项目验收合格后，且甲方收到乙方开具的等额发票10个工作日内，甲方一次性支付合同款的70%。</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本合同执行中相关的一切税费均由乙方负担。</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十一、质量保修范围和保修期及售后服务</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乙方提供的货物在质量期内因货物本身的质量问题发生故障，乙方应负责免费更换。对达不到技术要求者，根据实际情况，经双方协商，可按以下办法处理：</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如在使用过程中发生质量问题，乙方在接到甲方通知后在</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小时内到达甲方现场。</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在质保期内，乙方应对货物出现的质量及安全问题负责处理解决并承担一切费用。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十二、项目验收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甲方依法组织履约验收工作。</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对于实际使用人和甲方分离的项目，甲方邀请实际使用人参与验收。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 </w:t>
      </w:r>
      <w:r>
        <w:rPr>
          <w:rFonts w:ascii="SimSun" w:hAnsi="SimSun" w:eastAsia="SimSun" w:cs="SimSun"/>
          <w:color w:val="000000"/>
          <w:sz w:val="24"/>
        </w:rPr>
        <w:t xml:space="preserve">甲方成立验收小组，按照采购合同的约定对乙方的履约情况进行验收。验收时间、验收标准见招标文件验收内容。验收时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甲方按照采购合同的约定对每一项技术、商务要求的履约情况进行确认。验收结束后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验收小组出具验收书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列明各项标准的验收情况及项目总体评价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由验收双方共同签署。验收结果与采购合同约定的资金支付及履约保证金返还条件挂钩。履约验收的各项资料存档备查。</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12.6 </w:t>
      </w:r>
      <w:r>
        <w:rPr>
          <w:rFonts w:ascii="SimSun" w:hAnsi="SimSun" w:eastAsia="SimSun" w:cs="SimSun"/>
          <w:color w:val="000000"/>
          <w:sz w:val="24"/>
        </w:rPr>
        <w:t xml:space="preserve">验收合格的项目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甲方将及时报告本级财政部门。</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十三、货物的包装、发运及运输</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 </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 </w:t>
      </w:r>
      <w:r>
        <w:rPr>
          <w:rFonts w:ascii="SimSun" w:hAnsi="SimSun" w:eastAsia="SimSun" w:cs="SimSun"/>
          <w:color w:val="000000"/>
          <w:sz w:val="24"/>
        </w:rPr>
        <w:t xml:space="preserve">货物在交付甲方前发生的风险均由乙方负责。</w:t>
      </w:r>
      <w:r/>
    </w:p>
    <w:p>
      <w:pPr>
        <w:ind w:left="0" w:right="0" w:firstLine="480"/>
        <w:jc w:val="both"/>
        <w:spacing w:before="156" w:after="156"/>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 </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甲方无正当理由拒收货物的，甲方向乙方偿付拒收货款总值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的违约金。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向乙方支付违约金。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乙方逾期交付货物的，乙方应按逾期交货总额每日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w:t>
      </w:r>
      <w:r>
        <w:rPr>
          <w:rFonts w:ascii="Times New Roman" w:hAnsi="Times New Roman" w:eastAsia="Times New Roman" w:cs="Times New Roman"/>
          <w:color w:val="000000"/>
          <w:sz w:val="24"/>
        </w:rPr>
        <w:t xml:space="preserve"> </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 </w:t>
      </w:r>
      <w:r>
        <w:rPr>
          <w:rFonts w:ascii="SimSun" w:hAnsi="SimSun" w:eastAsia="SimSun" w:cs="SimSun"/>
          <w:color w:val="000000"/>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甲乙双方因合同签订、履行而发生的一切争议，应通过友好协商解决。如协商不成由甲方住所地人民法院管辖。</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本合同未尽事宜，遵照《中华人民共和国民法典》《中华人民共和国政府采购法》有关条文执行。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本合同正本一式</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份，具有同等法律效力，甲方、乙方及财政监管部门各执一份。</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乙方（盖章）：</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地址：</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经办人：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项目概述：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宝应县调度系统已建设运行近十年。应用平台系统包括：计算机网络平台（设备严重老化）、语音通讯平台、受理调度平台（系统已极不稳定）、信息管理平台（基本瘫痪）、车载信息平台（严重老化、设备基本损坏无法维修）、市县联网平台（与市中心已无法联网）等。随着我县经济和社会的快速发展，院前急救量每年以很高的速度在增长，人民群众对急救服务、技术、设施等方面的需求越来越高，当前的急救指挥调度系统已经无法满足和支撑业务需求，设备基本老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本次项目建设将通过建设本地调度中心接入扬州市区域急救服务平台，实现急救网络体系纵向连通。以市级“统筹规划、节约集约、互联互通、共享开放、安全可靠”为原则实现市级平台软件功能复用。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情况下，系统工作采取属地管理原则，宝应县急救站负责辖区内老百姓日常急救呼救的受理、指挥、调度。若需市中心或临近区县急救力量增援，可向市急救中心或临近区县发送请求，由市中心统一调度。以市急救中心平台为中心的急救网络体系如下图所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3067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0144" name=""/>
                        <pic:cNvPicPr>
                          <a:picLocks noChangeAspect="1"/>
                        </pic:cNvPicPr>
                        <pic:nvPr/>
                      </pic:nvPicPr>
                      <pic:blipFill>
                        <a:blip r:embed="rId13"/>
                        <a:stretch/>
                      </pic:blipFill>
                      <pic:spPr bwMode="auto">
                        <a:xfrm>
                          <a:off x="0" y="0"/>
                          <a:ext cx="5276849" cy="3067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241.5pt;mso-wrap-distance-left:0.0pt;mso-wrap-distance-top:0.0pt;mso-wrap-distance-right:0.0pt;mso-wrap-distance-bottom:0.0pt;" stroked="false">
                <v:path textboxrect="0,0,0,0"/>
                <v:imagedata r:id="rId13" o:title=""/>
              </v:shape>
            </w:pict>
          </mc:Fallback>
        </mc:AlternateConten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项目技术原则：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项目建设遵循“统筹规划、节约集约、互联互通、共享开放、安全可靠”的原则，依托全民健康信息平台，拓展应用，做到一个系统纵贯到底、市县共用，严格按照“一部门一系统” 要求，加强单位内部系统清理整合，不得无序建设、重复投入、粗放管理。统一接入云平台，实现统一指挥平台建设，支持应急指挥统一联动能力。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项目需遵循的有关标准和规范：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1、WS 365-2011 《城乡居民健康档案基本数据集》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2、WS370-376《卫生信息基本数据集编制规范》等23项强制标准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3、WS445《电子病历基本数据集》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4、《江苏省卫生信息平台共享数据集》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5、WST 451-2014 《院前医疗急救指挥信息系统基本功能规范》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6、《急救医疗调度指挥信息系统基本功能规范》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7、WS/T 《292-2008 救护车》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8、《江苏省病历书写规范》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9、《需要紧急救治的急危重伤病标准及诊疗规范》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10、《道路交通事故受伤人员临床诊疗指南》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11、《江苏省信息化支撑县域医共体业务协同与资源共享中心建设基本业务规范（2版）》（苏卫基层[2024]8号）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12、《江苏省健康信息平台共享数据集和编码标准》（公卫部分）（苏卫办基层〔2024〕4号）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13、《江苏省县域医共体信息化建设技术指南(征求意见稿)》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14、《江苏省县域医共体信息化共享数据标准(征求意见稿)》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1.1采购清单</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3376"/>
        <w:gridCol w:w="1121"/>
        <w:gridCol w:w="1997"/>
        <w:gridCol w:w="1571"/>
      </w:tblGrid>
      <w:tr>
        <w:trPr>
          <w:trHeight w:val="3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是否接受进口产品投标</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院前急救信息系统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w:t>
            </w:r>
            <w:r>
              <w:rPr>
                <w:rFonts w:ascii="SimSun" w:hAnsi="SimSun" w:eastAsia="SimSun" w:cs="SimSun"/>
                <w:color w:val="000000"/>
                <w:spacing w:val="-5"/>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（1）★维保期内，免费提供后续急救车辆及分站系统软件接入服务，硬件价格不高于本次采购价。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（2）★本次项目全面基于扬州市区域急救平台建设，宝应本地不再提供任何服务器资源。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（3）★本次项目全面接入扬州市区域急救平台，要求实现平时独立调度，战时统筹调度的能力，须承诺战时最高权限可在市级统筹下直接调度宝应县所有急救车辆。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投标人须对上述要求逐一响应并提供承诺函（格式自理，未提供将作无效响应）。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二、软件建设技术要求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2.1调度台软件功能要求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具备多</w:t>
      </w:r>
      <w:r>
        <w:rPr>
          <w:rFonts w:ascii="Segoe UI" w:hAnsi="Segoe UI" w:eastAsia="Segoe UI" w:cs="Segoe UI"/>
          <w:color w:val="000000"/>
          <w:sz w:val="24"/>
          <w:highlight w:val="white"/>
        </w:rPr>
        <w:t xml:space="preserve">维度核心操作与管理模块：坐席登录需选择用户名、填写密码、选定台类型（受理调度台可受理电话及派车，调度台功能与之一致，班长台新增 “监控信息”）及班次（早班、中班、晚班，未选则无法登录），以明确责任主体并为统计分析和工作质量评价提供依据；界面分为主屏（受理调度屏，展示排队电话、车辆信息等，来电时显示详情）、左屏（地理信息屏，默认接入高德或百度地图）、右屏（信息管理屏，包含事件信息、电话簿等多项内容）；系统监控可实时追踪排队电话、落单事件、出车及受理超时情况，对应事件发生时会通过颜色变化和声音发出提醒，且受理超</w:t>
      </w:r>
      <w:r>
        <w:rPr>
          <w:rFonts w:ascii="Segoe UI" w:hAnsi="Segoe UI" w:eastAsia="Segoe UI" w:cs="Segoe UI"/>
          <w:color w:val="000000"/>
          <w:sz w:val="24"/>
          <w:highlight w:val="white"/>
        </w:rPr>
        <w:t xml:space="preserve">时的告警与超时时间可按中心规定设置；班台信息及状态展示所有当班台状态，实时显示受理中坐席的现场地址，避免重复派车；车辆管理支持以列表形式展示含 DBD 状态、分站名称等多字段的车辆信息，不同状态车辆以不同颜色区分，可进行通话、轨迹回放、视频查看等操作，支持车辆与事件关联、状态过滤、多条件查询、按固定顺序更改状态，以及中止任务、暂停 / 恢复调用、上下班操作、更改车辆分站等功能；电话呼入时系统自动显示来电信息（姓名、号码、上次来电时间等）和呼入信息详情（仅历史来电号码会弹出），并提供 F4、F5 快捷键用于摘</w:t>
      </w:r>
      <w:r>
        <w:rPr>
          <w:rFonts w:ascii="Segoe UI" w:hAnsi="Segoe UI" w:eastAsia="Segoe UI" w:cs="Segoe UI"/>
          <w:color w:val="000000"/>
          <w:sz w:val="24"/>
          <w:highlight w:val="white"/>
        </w:rPr>
        <w:t xml:space="preserve">机、挂机；电话呼入后可分类处理非要车电话（含恶意电话、医疗咨询等类型），对应有继续接听、退出接听、暂停接听三种操作及不同状态切换；突发事件相关功能支持生成事件、填报患者流向、自动生成并发送上报短信，且支持突发事件与普通事件的多事件关联合并；电话簿提供快速检索、联系相关人员的功能，包含分类查找、检索等；电话流水可查询指定时间段内各类电话记录，支持听录音、回拨功能；交班日志支持新增、修改、删除个人及班组交接日志（班组日志可通知所有调度台）；报停记录为系统自动生成，支持条件查询；通知单功能涵盖发送及查看历史；事件</w:t>
      </w:r>
      <w:r>
        <w:rPr>
          <w:rFonts w:ascii="Segoe UI" w:hAnsi="Segoe UI" w:eastAsia="Segoe UI" w:cs="Segoe UI"/>
          <w:color w:val="000000"/>
          <w:sz w:val="24"/>
          <w:highlight w:val="white"/>
        </w:rPr>
        <w:t xml:space="preserve">管理以列表形式展示近期事件，支持状态过滤及唤醒待派、改派等多项操作；班长坐席除具备受理调度席全部功能外，还可监控急救任务与受理调度过程、监听强插通话、监控坐席及设备运行状态，通过监控信息分类查看坐席工作状态，在警情通传中查看事件详情并执行监听、接管等操作，且当非任务车辆超出设定城市范围时会收到围栏提醒</w:t>
      </w:r>
      <w:r>
        <w:rPr>
          <w:rFonts w:ascii="SimSun" w:hAnsi="SimSun" w:eastAsia="SimSun" w:cs="SimSun"/>
          <w:color w:val="000000"/>
          <w:sz w:val="24"/>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2.2地图程序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接入国内主流网络地图，并支持基于网络地图的地址查询、路径规划、车辆监控、电话定位、现场地址定位、车载北斗位置显示、地图直接拨打电话、电子围栏、急救资源标记等功能。另外，系统同样支持接入本地地图，如果网络地图无法使用，则可以使用本地地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2.3呼叫定位软件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highlight w:val="white"/>
        </w:rPr>
        <w:t xml:space="preserve">需在急救指挥中心通信机房配置由信令采集器与扬州市区域呼叫定位平台软件组成的信令采集终端，通过中心网络出口与运营商定位网关通信，向该定位平台软件送出电话信令及定位请求数据，再由运营商定位网关将鉴权结果及定位结果反推至宝应县调度台；定位平台与 120 调度系统通过数据接口通信，定位平台输出的定位数据经调度平台接口后，会展示在一机三屏的电子地图中供调度员参考，同时需满足接入国内主流运营商集团定位网关及具备呼叫核查功能的数据服务要求、涵盖系统运行状态监控、采集器在线状态监控、定位成功率监控等的运维服务要求，以及包含</w:t>
      </w:r>
      <w:r>
        <w:rPr>
          <w:rFonts w:ascii="Segoe UI" w:hAnsi="Segoe UI" w:eastAsia="Segoe UI" w:cs="Segoe UI"/>
          <w:color w:val="000000"/>
          <w:sz w:val="24"/>
          <w:highlight w:val="white"/>
        </w:rPr>
        <w:t xml:space="preserve">国内主流运营商基站定位三年授权的定位授权要求。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2.4分站管理软件授权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分站管理软件授权。支持市县一体化调度，且调度台软件需具备以下功能：（1）实时任务模块：实时任务模块主要用于实时接收指挥中心的调派命令（与救护车接收同步），调派任务的单类型包括命令单、补发单和通知单等，一个急救任务可能对应1个命令单和多个补发单，具体可以根据任务号进行对应关联。（2）历史查询模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用于查询一定时间内不同单类型的命令单情况。（3）分站地图模块，主要用于展示分站车辆的状态和位置分布。（4）车辆管理模块，主要用于：车辆管理模块主要用于展示分站车辆的当前状态和任务地址等，并且可以通过配置赋予分站人员修改车辆状态的权限，同时，支持帮随车人员上下班。（5）菜单设置模块，主要用于：菜单设置模块主要用于设置分站车辆分组、任务预警和接收的相关指数配置、报表模板的更新、使用手册的查阅以及最小化等；（6）分站监控模块，主要用于：分站监控及归属于分站的车辆监控查询、下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2.5医院急诊预告知接收端软件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具备区域事件接收能力：要求可接收基于扬州市区域平台下发任务时间数据展示能力，实现区域一体化能力；医院端告知信息显示设计：将院前救护车上传来的救护车位置信息、病人基本信息、伤情分级、伤情描述等显示在急症抢救室的大屏幕上，具体需要显示的内容包括：车牌号、随车电话、距离和预计到达时间、现场地址、患者性别和年龄、预警信息、伤情描述；病人抢救记录填写功能：要求软件可对患者的抢救记录填写，并回传至120指挥中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2.6远程视频会诊要求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扬州市区域远程视频会诊平台，要求增加5路视频会诊授权、5路视频会诊录制授权及10路会诊并发。远程会诊视频通讯平台主要用于搭建急救医生、120督导专家、院内专科医生等建立多方视频通话，实现患者病情的远程诊断和救治前移。比如，当随车医生发现自身经验难以应对患者救治时，可以通过远程会诊视频通讯平台请求院内医生的协助，也可以接受来自中心或院内的远程会诊请求：①提供医院、救护车、指挥调度中心各业务点实时在线的视频用户列表； ②支持向在线视频用户发起远程会诊通话请求，对方接听或对方自动应答后系统自动建立双方视频会话</w:t>
      </w:r>
      <w:r>
        <w:rPr>
          <w:rFonts w:ascii="SimSun" w:hAnsi="SimSun" w:eastAsia="SimSun" w:cs="SimSun"/>
          <w:color w:val="000000"/>
          <w:sz w:val="24"/>
        </w:rPr>
        <w:t xml:space="preserve">； ③支持挂断正在进行的音视频会话； ④支持调整音视频会话音量高低功能； ⑤因网络丢包、信号不好等原因导致系统音视频通话中断时，如果在30秒以内系统网络得到恢复，系统需要支持立即自动恢复音视频会话功能。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2.7院内系统对接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扬州市区域“上车即入院”数据对接标准，依据扬州市区域“上车即入院”统一要求，制定数据对接及业务对接标准，实现全面数据互联互通；急救调度指挥系统与各医院HS系统或急诊分诊系统对接，实现信息互联互通，构建高效的数据共享机制，推动院前与院内救治无缝衔接，为提前启动院内救治流程提供支撑；利用5G技术实现急救车与医疗机构的互联互通，打通院前院内信息平台接口，实现信息平台之间的数据传输，实现车内救治信息及患者生命体征信息实时传输、院前急救病人转归查询的目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2.8督导端软件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可实时掌握急救事件进展、状态、关键时间节点、动态医疗信息、关键提示信息、救护车位置及救护舱视频信息，必要时能对急危重症患者开展远程指导，有效解决院前急救医生面临的救治难题 —— 当医生遇到无法处理的情况或患者病情危急时，可通过终端的即时通讯、远程会诊功能与中心人员沟通请求协助，或由中心协调联系医院医生，同时终端支持将患者信息推送至目标医院，助力医院提前做好救治准备；在功能应用上，终端可通过任务列表展示当前全部执行中的急救任务并支持按事件等级查询，通过任务详情查看 GPG 上传时间、车辆当前状态、随车人员等信</w:t>
      </w:r>
      <w:r>
        <w:rPr>
          <w:rFonts w:ascii="SimSun" w:hAnsi="SimSun" w:eastAsia="SimSun" w:cs="SimSun"/>
          <w:color w:val="000000"/>
          <w:sz w:val="24"/>
        </w:rPr>
        <w:t xml:space="preserve">息及定位车辆位置，通过心电监控查看救护车上医疗设备采集的患者心电图等生命体征数据，通过任务地图在地图上标记车辆和事件坐标并查看相关车辆信息；可实时跟踪定位救护车位置、查看急救任务状态，估算患者病发地点到送达医院的行驶距离和时间，完整记录救护车从收到任务指令、驶向现场、到达现场到驶向医院等全流程各状态的时间，监控所有车辆的实时位置和行驶状态，通过车载摄像头、话筒采集救护舱内音视频，结合医疗设备采集的患者生命体征数据，直观掌握病患救治情况及生命状态；在远程急救指导方面，终端支持信息交互与视频会议两种形式，随车医</w:t>
      </w:r>
      <w:r>
        <w:rPr>
          <w:rFonts w:ascii="SimSun" w:hAnsi="SimSun" w:eastAsia="SimSun" w:cs="SimSun"/>
          <w:color w:val="000000"/>
          <w:sz w:val="24"/>
        </w:rPr>
        <w:t xml:space="preserve">生可发起协助请求，督导端专家也可主动发送督导意见，双方还能上传发送图片、视频以便更直观了解情况，督导端可响应或自动发起与随车医生的视频通话，也可邀请院内医生参与三方视频会诊；在患者信息推送与督导记录方面，督导端可填写详细患者信息，从列表展示的所有医院中选择目标医院发送，同时会完整记录督导相关信息，包括督导对象（如市民、医生、护士等）、督导时机（如呼叫 120、驶向现场等）、督导情境（如问诊、体格检查等）、指导事项（如安抚情绪、提醒注意事项等，需结合具体情境记录细节，如器械检查需注明使用的器械，提醒注意事项需</w:t>
      </w:r>
      <w:r>
        <w:rPr>
          <w:rFonts w:ascii="SimSun" w:hAnsi="SimSun" w:eastAsia="SimSun" w:cs="SimSun"/>
          <w:color w:val="000000"/>
          <w:sz w:val="24"/>
        </w:rPr>
        <w:t xml:space="preserve">列明携带医保卡、病历本等）及具体指导与督导内容，为事后质控及纠纷追溯提供依据。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2.9医学录像通用系统基础信创平台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基础包：提供业务应用依赖的基础资源信息及基础服务能力，包括系统基础信息管理、地图应用服务、事件联动应用服务；系统基础信息管理：系统基础信息管理提供了系统业务应用依赖的基础资源，包括用户管理、基础数据管理、区域管理、系统配置、物联设备管理，统一管理了组织、区域、人员、车辆和物联设备等资源，并提供人车、人设备的关联关系配置能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2.10医学录像通用系统与调度系统对接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摄录终端具备上下班功能后，推送设备登录人员及设备编码信息给调度系统，调度系统匹配车辆，确认设备与车辆绑定；车载更改状态时将任务号与开始时间推送至设备，供设备后台自动标记任务下视频开始时间；车载更改状态为任务结束时推送结束时间至设备后台，供设备后台自动标记任务下视频结束时间；要求可实现在急救管理平台下通过任务查阅调度事件视频的功能，包括实时视频查看和过往视频查看调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2.11▲多媒体报警软件（投标人所投多媒体报警软件平台需具备软件著作权证书，提供扫描件并加盖投标人公章。）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信小程序听障人士报警功能：文字与语音互转功能，实现听障人士与调度员无障碍沟通；当听障人士通过微信小程序进行报警时，自动采集当前报警人位置等信息；当听障人士报警时，在调度台上使用声音、图片、文字等信息提示调度人员，此呼救为听障人士；调度员通过听障人士受理模块实现报警信息登记、语音文字转换等；事件信息中使用特殊图标、文字标注此呼救信息为听障人士，以便提醒相关人员后续事件跟踪处理；任务信息中使用特殊图标、文字标注此呼救信息为听障人士，以便提醒出车人员通过短信与听障人士沟通；听障人士相关数据流水报表、统计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2.12可视化呼叫</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呼救者利用微信小程序进入急救视屏呼救界面，点击视屏呼救，可直接通过视屏通话方式与急救中心进行通话，获得急救服务；在呼救120过程中，由于无法具体描述病情或其它重要信息，调度台可主动推送一条包含视屏呼救连接的短信至呼救者手机上，待呼救者点开连接后便可直接建立视屏呼救通道，使得120调度人员可以与现场呼救人员视屏通话，以此更好的为呼救者提供急救支撑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2.13▲急救集中监控告警软件（投标人所投急救集中监控告警软件需具备软件著作权证书，提供扫描件并加盖投标人公章。）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救记录监督软件，要求可直观地监控各个子系统以及相关服务的运行状态。系统可将监控的服务程序或者系统的状态一一展示出来，使得用户一目了然地了解当前系统运行情况，同时显示历史状态信息以及操作告警记录信息，以便跟踪各个服务程序或系统状态的时间节点，以及快速定位异常信息。另外，系统可查电话流水记录及播放电话录音，页面可嵌入到其它系统，也可以为分配不同权限来控制不同角色所能访问的页面；监控统计模块：首页主要展示各个监控模块的实时状态和统计数据，包括服务监控统计、系统监控统计、网络监控统计、资源监控统计、业务监控统计、</w:t>
      </w:r>
      <w:r>
        <w:rPr>
          <w:rFonts w:ascii="SimSun" w:hAnsi="SimSun" w:eastAsia="SimSun" w:cs="SimSun"/>
          <w:color w:val="000000"/>
          <w:sz w:val="24"/>
        </w:rPr>
        <w:t xml:space="preserve">日志汇总统计及汇总统计数据等。监控模块：①业务监控：系统主要提供对调度受理派车业务的相关监控，包括出车监控、出车超时监控、任务超时监控、突发事件超时未上报监控以及车载DBD长时间断传监控等。②服务监控：针对业务系统相关服务程序（包括应用、通服、地图、消息服务等）进行监控，主要监控服务是否正常开启、是否正常运行、是否正常关闭或异常退出等。③系统监控：主要包括对数据库、中间件等系统服务的监控，比如监控服务是否正常运行，定时去连接服务，如果不能连接可判断服务异常。④资源监控：主要监控服务器或者主机的cpu、内存、</w:t>
      </w:r>
      <w:r>
        <w:rPr>
          <w:rFonts w:ascii="SimSun" w:hAnsi="SimSun" w:eastAsia="SimSun" w:cs="SimSun"/>
          <w:color w:val="000000"/>
          <w:sz w:val="24"/>
        </w:rPr>
        <w:t xml:space="preserve">磁盘空间等硬件的使用情况，判断是否异常或超出设定的阈值等。⑤网络监控：主要监控服务器的网络是否异常或者中断等，定时去ping服务器，如果长时间不通可判定异常；日志模块：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听读取各个业务系统的日志，根据日志的等级来判定程序是否异常，同时提供日志的下载功能；告警模块：系统监控到相关异常后，需要做出相应的告警处理，目前告警方式主要有短信通知、语音电话通知、调度台通知等。告警通知方式可同时配置一个或者多个，各个监控模块也能单独配置对应的告警通知方式：短信通知：根据监控的模块，在对应模块的通知方式中配置对应的电话号码，当触发告警时即可发送告警短信通知对应人员；语音通知：根据监控的模块，在对应模块的通知方式中配置对应的电话号码，当触发告警时即可拨打语音电话给对应人员；调度台通知：根据</w:t>
      </w:r>
      <w:r>
        <w:rPr>
          <w:rFonts w:ascii="SimSun" w:hAnsi="SimSun" w:eastAsia="SimSun" w:cs="SimSun"/>
          <w:color w:val="000000"/>
          <w:sz w:val="24"/>
        </w:rPr>
        <w:t xml:space="preserve">监控的模块，在对应模块的通知方式中配置对应的调度台，当触发告警时即可发送告警通知到对应调度台上；告警操作记录：显示告警操作记录，主要包括记录时间、告警类型、事件名称、告警内容等，开启定时器后时间节点在当天内可自动刷新最新记录信息；告警流水模块：电话流水：显示电话流水记录，内容主要包括电话号码、通话结果、任务编码、车辆编码、通话的各个时间节点、录音播放等；短信流水：当服务程序或系统发生异常时，会发送短信通知用户，主要显示服务ID、发送内容、手机号码等信息；告警配置模块：基础配置：告警类型说明以及告警字段默认值</w:t>
      </w:r>
      <w:r>
        <w:rPr>
          <w:rFonts w:ascii="SimSun" w:hAnsi="SimSun" w:eastAsia="SimSun" w:cs="SimSun"/>
          <w:color w:val="000000"/>
          <w:sz w:val="24"/>
        </w:rPr>
        <w:t xml:space="preserve">设置，如超时未完成预警的预警时间、出车数预警值、敏感词预警值、突发事件未上报预警时间等；个性化配置：支持中心根据实际需求进行个性化预警配置，如检测到调度台有派车自动预警、语音告警电话拨打次数和拨打方式（循环/统一拨打）设置、是否给领导发送告警通知等；维护管理模块①权限管理：配合角色使用，将权限赋予角色，可为人员分配角色，从而实现不同人员浏览相对应权限的页面。②人员管理：支持增删改查人员信息，也可同步调度库的人员信息。③角色管理：维护人员角色，支持增删改查角色信息并为角色分配相应权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2.14领导指挥终端软件（安卓版）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统计、查询及信息展示功能，整体统计以直观图形展示电话总量、接警总量等核心数据，默认展示当日数据且支持查询；车辆统计首页展示总数并可导航至明细页，按任务中（红色）、待命中（绿色）、不能调用（灰色）等状态分组展示且支持地图定位；分站统计首页展示总数，可导航至列表查看明细、跳转地图查看位置及查看所属人员与车辆列表；坐席统计首页展示总数，导航至列表可查看详细信息且已登录与未登录坐席有颜色区分；通讯录首页展示总数，导航至列表按组织机构树状展示，支持按所属机构、人员名称等条件搜索并可维护一人多角色及多个电话；事件统</w:t>
      </w:r>
      <w:r>
        <w:rPr>
          <w:rFonts w:ascii="SimSun" w:hAnsi="SimSun" w:eastAsia="SimSun" w:cs="SimSun"/>
          <w:color w:val="000000"/>
          <w:sz w:val="24"/>
        </w:rPr>
        <w:t xml:space="preserve">计以环状图展示普通急救、大型事件等类型数据及占比，任务统计以柱状图展示病人数、无车数等数值，电话统计以环状图展示事件相关与无关电话数及占比，突发事件统计以进度条展示公共卫生事故、事故灾难等各类突发事件数；同时支持接收调度台发送的重大事故单并回复已查收，可按时间段、事件类型等单个或多个条件组合查询事件，查看包含事件详细、受理数据详细及任务详细的事件详情，以列表形式分类展示全部分站、车辆、医院信息并在地图界面扎点定位，在地图的车辆列表中可按车辆标识等条件查询车辆且能查看车辆行驶轨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2.15领导指挥终端软件（PC版）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涵盖多维度统计、查询、信息展示及交互功能：电话统计通过饼状图或数据展示调度台受理电话中事件相关（红色）与事件无关（蓝色）的占比；事件统计以列表或环状图呈现普通事件、大型事件等各类事件的数量及占比；平均时间统计用仪表盘展示平均受理、出车、派车时间，且通过红（效率低）、绿（效率一般）、蓝（效率高）三色提示服务质量；突发事件统计以列表或面积图统计公共卫生事件、事故灾难等类别事件的数量；综合统计与数据总览均展示电话总量、事件总数等核心数据；车组数据统计呈现全部车辆数、任务中车辆数等信息，分站数据统计展示分站总数、人</w:t>
      </w:r>
      <w:r>
        <w:rPr>
          <w:rFonts w:ascii="SimSun" w:hAnsi="SimSun" w:eastAsia="SimSun" w:cs="SimSun"/>
          <w:color w:val="000000"/>
          <w:sz w:val="24"/>
        </w:rPr>
        <w:t xml:space="preserve">员及车辆情况，分站出车数统计以列表展示分站名称、任务量、出车量；车辆状态以列表滚动展示所属分站、车牌号、车辆状态，支持按状态（分配任务、到达现场等）、实际标识查询，可分组查看不同状态车辆，还能点击查看车辆位置及轨迹回放；事件查询支持按起止时间筛选普通事件与突发事件，可查看事件具体位置及包含受理次数、调度员等信息的详情；地图上以列表形式展示全部分站、医院的位置分布，支持按名称查询及查看详细信息与位置，点击分站可查看其下调度员、司机等各类人员信息；调度坐席模块在调度在线时展示台号、姓名等多维度信息，离线时仅展示</w:t>
      </w:r>
      <w:r>
        <w:rPr>
          <w:rFonts w:ascii="SimSun" w:hAnsi="SimSun" w:eastAsia="SimSun" w:cs="SimSun"/>
          <w:color w:val="000000"/>
          <w:sz w:val="24"/>
        </w:rPr>
        <w:t xml:space="preserve">台号及离线状态；支持按电话分类名称、电话所属名称查询相关数据；还可查看司机、医生、分站、车辆、中心的工作统计，涵盖平均救治时间、出车次数等多项指标，同时能接收调度台发送的重大事故单并点击回复已查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三、配套设备技术要求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3.1调度专用一机三屏调度终端2套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处理器需采用板载设计；配置不少于1颗国产C86架构CPU，每颗CPU物理核心数≥8核，每颗CPU主频≥3.0GHz，每颗CPU三级缓存≥16MB，支持超线程技术，线程数量≥16，TDP≤65W，内存≥16G；固态硬盘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1TB；千兆网卡；定制适配独立显示接口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3个；须预装正版国产桌面操作系统(永久授权，原厂3年技术支持服务)；高性能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23寸以上曲面液晶显示器3台、音箱。</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3.2专用调度配套桌椅2套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专用调度桌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调度指挥坐席台直排形，可根据现场情定制各种款式。调度台长1800mm,深900mm,台面距地面高750mm,桌面围挡高180mm,亚克力板固定在围挡上，内含遥控氛围多彩灯带；主体框架结构立柱承重采用不小于2.3mm厚冷轧钢板加工，一般受力配件采用不小于1.5mm厚优质冷轧钢板钣金加工。主体框架结构为360框架，由冲压成形的冷轧钢构件通过上下水平横梁及左右侧柜组成一个坚固的矩形框架结构，用标准件螺栓连接成型，确保强度及方正性，控制台可提供足够的腿部空间。主体框架下部采用可调整水平的固定脚支撑，其支撑脚采用</w:t>
      </w:r>
      <w:r>
        <w:rPr>
          <w:rFonts w:ascii="SimSun" w:hAnsi="SimSun" w:eastAsia="SimSun" w:cs="SimSun"/>
          <w:color w:val="000000"/>
          <w:sz w:val="24"/>
        </w:rPr>
        <w:t xml:space="preserve">高强度专用螺栓调整；主体框架结构采用模块化结构，具备灵活性，在变化角度位置时，钻孔及加工的情况下重新配置。所有钣金配件经过酸洗、磷化、防锈、防腐处理静电喷涂工艺，整体结构合理；台面上围挡分为整体、支撑部件和安装锁紧部件组成；采用高强度精密合金铝型材1800mm*150mm*30mm，截面壁厚为1.5mm挤压成型，表面阳极氧化处理，两端安装时封闭；围挡上端添加亚克力和LED灯光，实现装饰效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配套调度专用工学椅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头枕、背垫、腰枕及座垫网布；黑色塑胶框架，PU扶手垫；塑胶头枕插条、头枕横把手；背支撑架、底盘支撑架均为铝合金精抛光。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IP程控交换机2套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英寸机架式服务器主机；含信创操作系统、支持信创国产化部署，具备信创兼容认证；IP软硬一体语音网关，支持E1转IMS、E1转FXO、E1转FXS、E1转E1；内置ISDN30B+D、7号信令2M及SIP中继接口，本次配置2块30B+D接口板；中继数量：支持≥500路SIP中继；通话并发：≥60方通话并发，支持扩展至120并发；语音编码：支持G.711A / G.711U / iLBC / G722 / G726 / G729A / GSM / SPEEX / ADPCM；支持T2非平衡变换组件 RJ45</w:t>
      </w:r>
      <w:r>
        <w:rPr>
          <w:rFonts w:ascii="SimSun" w:hAnsi="SimSun" w:eastAsia="SimSun" w:cs="SimSun"/>
          <w:color w:val="000000"/>
          <w:sz w:val="24"/>
        </w:rPr>
        <w:t xml:space="preserve">/同轴接口；支持自动录音（支持内置5年录音）；网络支持：静态IP, DHCP, VPN, 防火墙, VLAN, DDNS, PPPoE, QoS, 静态NAT, STUN</w:t>
        <w:br/>
        <w:t xml:space="preserve">；内置多语言语音提示功能；可视化用户配置界面；CSTA 服务器软件授权；支持双机热备；支持数字中继双机热备模式；在双机热备模式下，系统支持数字中继热备接入，提供数字中继冗余可靠性保障；系统支持内置通话计费功能；监听：系统管理员可以设置分机用户的监听权限；强插：系统支持内置强插功能；强拆：系统支持内置强拆功能；网页端软电话：系统支持内置；录</w:t>
      </w:r>
      <w:r>
        <w:rPr>
          <w:rFonts w:ascii="SimSun" w:hAnsi="SimSun" w:eastAsia="SimSun" w:cs="SimSun"/>
          <w:color w:val="000000"/>
          <w:sz w:val="24"/>
        </w:rPr>
        <w:t xml:space="preserve">音配件2套；专用耳机2套；话机电源2套。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3.4调度室静电地板1项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调度室地面找平、钢架铺设，陶瓷面防静电地板安装，并在机房及调度室之间开槽预留线槽，完成施工后恢复；实木或不锈钢踢脚线；原房间做接地处理；原有强弱电拆除，新增符合调度系统、机房的专用国标强电线及六类专用网线；电箱改造适配ups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3.5网络机柜1个</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2米高标准网络机柜，1.1米深。</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UPS 1项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≥32节电池、1个UPS机头、保障中心核心设备≥6个小时供电，包含设备安装。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3.7交换机2台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三层交换机；交换容量：≥598Gbp；转发性能：≥216Mpps；接口类型：千兆电口≥24，千兆复用光口≥8个，万兆光口≥4个，扩展槽≥1个；VxLAN：支持二层VxLAN、支持三层VxLAN、支持EVPN；智能管理中心：内置及图形化管理界面，可以解决大量分散的边缘接入设备的集中管理问题，实现对网络的统一运维及管理；安全板卡扩展：支持集成包括FW，IPS、负载均衡等高性能OAP模块插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3.8防火墙2台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3.8.1产品架构:采用国产芯片，国产操作系统；性能要求: 吞吐率(bps)≥2G，最大并发连接数≥480万，每秒新建连接数≥7万，提供IPSec VPN隧道数≥2000条，并发零信任授权数≥8个。并发SSL VPN 用户许可≥8个，最大可扩展至500个；硬件要求:标准机架，≥1个CON 口，≥2个USB口，1个MGT口，≥10 个10/100/1000MBase-T电口，≥4个Combo口，2个通用扩展槽；基本功能：支持口令认证、短信认证、口令+短信方式的Web认证，短信认证支持阿里云和ACC CEP2.</w:t>
      </w:r>
      <w:r>
        <w:rPr>
          <w:rFonts w:ascii="SimSun" w:hAnsi="SimSun" w:eastAsia="SimSun" w:cs="SimSun"/>
          <w:color w:val="000000"/>
          <w:sz w:val="24"/>
        </w:rPr>
        <w:t xml:space="preserve">0协议的电信等4种短信服务网关，支持WebAuth认证页面定制。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3.8.2▲SNAT/DNAT支持冗余检测分析，帮助管理员梳理冗余NAT规则。(提供具有CNAS或CMA 标识的第三方检测机构检测报告，扫描件上传)。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3.8.3▲支持按设备对象放行iot终端流量，对非指定设备阻断其流量。(提供具有CNAS或CMA 标识的第三方检测机构检测报告，扫描件上传)。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3.8.4▲支持Docker管理功能，通过该功能，用户可以在系统中创建Docker，为Docker分配系统资源，导入Docker镜像文件，并基于Docker运行容器应用；(提供具有CNAS或CMA 标识的第三方检测机构检测报告，扫描件上传)。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3.8.5运维与监控：提供手机APP，实时监控展现设备CPU利用率、内存利用率、并发连接数、流量等状态，提供防火墙威胁分析服务，包括攻击级别展示、攻击类型分析、攻击者和受害者信息统计分析。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3.9心电图/监护仪数据采集终端10台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设计：采用车规级芯片与设计，可在-40℃—+85℃工作，防尘防潮防雷击，可靠性远高于民用CPE类产品。可直接使用车辆点烟器电源供电，方便快捷，内置LGA封装无铅焊接通讯模块，避免M2/PCIE接口的通讯模块在长期使用不抗震、易氧化、易松动等问题；高度集成，将医疗设备生命体征数据/波形传输、电子病历、车载CPE、车载网关等功能集于一体，便于安装实施，无需改动车辆原有线路。开机后即可传输车载医疗设备数据及波形；车载医疗设备连接：可同时连接多参数监护仪、除颤监护仪、心电图机、呼吸机等车载设备，各项功能可以按</w:t>
      </w:r>
      <w:r>
        <w:rPr>
          <w:rFonts w:ascii="SimSun" w:hAnsi="SimSun" w:eastAsia="SimSun" w:cs="SimSun"/>
          <w:color w:val="000000"/>
          <w:sz w:val="24"/>
        </w:rPr>
        <w:t xml:space="preserve">需开通，即开即用；具备VPN/APN配置功能：所有数据从医疗设备进入一体化网关后，全部进行128位加密、压缩处理，并且采用SSL安全连接发送到服务器，确保数据安全；数据传输丢包率小于1%，出现网络中断时，暂存不小于30分钟的数据并可在网络恢复后自动重连并补传发送；保证采集多台医疗设备时数据时间戳一致，误差小于1秒。自动解析设备协议填写每条数据采集时间（无需不同设备逐个修改时间），确保发送到服务器的数据采集时间真实有效；具备以太网、WIFI、MAX232/485、串口等多协议接口，根据需要可接入多种医疗设备；</w:t>
      </w:r>
      <w:r>
        <w:rPr>
          <w:rFonts w:ascii="SimSun" w:hAnsi="SimSun" w:eastAsia="SimSun" w:cs="SimSun"/>
          <w:color w:val="000000"/>
          <w:sz w:val="24"/>
        </w:rPr>
        <w:t xml:space="preserve">具有车辆定位/管理功能：可以实时记录车辆实时位置、运行轨迹回放等详细数据；具有远程生命体征传输接口：连接车载监护仪，将心电波形、心率、呼吸、体温、无创血压、血氧饱和度等生命体征参数实时无线传输至急救中心或接诊医院，让急救医生提前了解状况，为提前制定急救方案及远程指导救治提供必要依据，并且能够长期存储，随时可以进行调阅、下载、打印；具有车载除颤监护仪接口：通过网络接口直接连接现有车载除颤监护仪，无需提供相关无线模块，能够实时传输各项除颤监护仪监测数据及除颤能量，具有实时报表、时间列表、趋势图表、趋势列表等功能</w:t>
      </w:r>
      <w:r>
        <w:rPr>
          <w:rFonts w:ascii="SimSun" w:hAnsi="SimSun" w:eastAsia="SimSun" w:cs="SimSun"/>
          <w:color w:val="000000"/>
          <w:sz w:val="24"/>
        </w:rPr>
        <w:t xml:space="preserve">；具有车载急救呼吸机接口：连接主流品牌呼吸机，实现呼吸波形及数据等参数的实时远程传输，便于发现异常及时处理，满足讯息万变的呼吸状况救治需要；具有十二导心电图机远程传输系统接口：患者十二导心电图报告可实时传送至接诊医院及胸痛中心，便于对胸痛疾病患者提前发现心电异常，进行专家指导干预，数据共享交流，远程查询/会诊；所有车载医疗设备开机后自动进行传输，无需任何人工操作；所有车载医疗设备波形及数据、电子病历、车辆位置信息、数据列表回顾等功能均和救护车车牌号绑定，只需要点击车牌后以上信息同步切换，无须单独选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3.10单北斗急救车载信息终端10套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3.10.1</w:t>
      </w:r>
      <w:r>
        <w:rPr>
          <w:rFonts w:ascii="SimSun" w:hAnsi="SimSun" w:eastAsia="SimSun" w:cs="SimSun"/>
          <w:color w:val="000000"/>
          <w:sz w:val="24"/>
        </w:rPr>
        <w:t xml:space="preserve">一体式工业结构设计：适合台面安装，不可拆卸使用；（提供现场安装彩色图片）。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3.10.2</w:t>
      </w:r>
      <w:r>
        <w:rPr>
          <w:rFonts w:ascii="SimSun" w:hAnsi="SimSun" w:eastAsia="SimSun" w:cs="SimSun"/>
          <w:color w:val="000000"/>
          <w:sz w:val="24"/>
        </w:rPr>
        <w:t xml:space="preserve">触摸显示屏≥</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寸；显示屏分辨率≥</w:t>
      </w:r>
      <w:r>
        <w:rPr>
          <w:rFonts w:ascii="Times New Roman" w:hAnsi="Times New Roman" w:eastAsia="Times New Roman" w:cs="Times New Roman"/>
          <w:color w:val="000000"/>
          <w:sz w:val="24"/>
        </w:rPr>
        <w:t xml:space="preserve">1024*600</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RFID</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IC</w:t>
      </w:r>
      <w:r>
        <w:rPr>
          <w:rFonts w:ascii="SimSun" w:hAnsi="SimSun" w:eastAsia="SimSun" w:cs="SimSun"/>
          <w:color w:val="000000"/>
          <w:sz w:val="24"/>
        </w:rPr>
        <w:t xml:space="preserve">卡司机信息卡；无线通信：支持</w:t>
      </w:r>
      <w:r>
        <w:rPr>
          <w:rFonts w:ascii="Times New Roman" w:hAnsi="Times New Roman" w:eastAsia="Times New Roman" w:cs="Times New Roman"/>
          <w:color w:val="000000"/>
          <w:sz w:val="24"/>
        </w:rPr>
        <w:t xml:space="preserve">4G</w:t>
      </w:r>
      <w:r>
        <w:rPr>
          <w:rFonts w:ascii="SimSun" w:hAnsi="SimSun" w:eastAsia="SimSun" w:cs="SimSun"/>
          <w:color w:val="000000"/>
          <w:sz w:val="24"/>
        </w:rPr>
        <w:t xml:space="preserve">全网通；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3.10.3</w:t>
      </w:r>
      <w:r>
        <w:rPr>
          <w:rFonts w:ascii="SimSun" w:hAnsi="SimSun" w:eastAsia="SimSun" w:cs="SimSun"/>
          <w:color w:val="000000"/>
          <w:sz w:val="24"/>
        </w:rPr>
        <w:t xml:space="preserve">定位：支持</w:t>
      </w:r>
      <w:r>
        <w:rPr>
          <w:rFonts w:ascii="Times New Roman" w:hAnsi="Times New Roman" w:eastAsia="Times New Roman" w:cs="Times New Roman"/>
          <w:color w:val="000000"/>
          <w:sz w:val="24"/>
        </w:rPr>
        <w:t xml:space="preserve">BDS</w:t>
      </w:r>
      <w:r>
        <w:rPr>
          <w:rFonts w:ascii="SimSun" w:hAnsi="SimSun" w:eastAsia="SimSun" w:cs="SimSun"/>
          <w:color w:val="000000"/>
          <w:sz w:val="24"/>
        </w:rPr>
        <w:t xml:space="preserve">单模板，不得支持其他定位方式。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3.10.4</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VOIP</w:t>
      </w:r>
      <w:r>
        <w:rPr>
          <w:rFonts w:ascii="SimSun" w:hAnsi="SimSun" w:eastAsia="SimSun" w:cs="SimSun"/>
          <w:color w:val="000000"/>
          <w:sz w:val="24"/>
        </w:rPr>
        <w:t xml:space="preserve">语音通话；支持安装第三方应用程序，扩展终端行业应用功能；具备电瓶过放电保护功能；具备过压保护，超过极限电压，立即切断外部电路保护终端。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3.10.5</w:t>
      </w:r>
      <w:r>
        <w:rPr>
          <w:rFonts w:ascii="SimSun" w:hAnsi="SimSun" w:eastAsia="SimSun" w:cs="SimSun"/>
          <w:color w:val="000000"/>
          <w:sz w:val="24"/>
        </w:rPr>
        <w:t xml:space="preserve">▲具有车辆启动点火检测功能，当车辆熄火后，设备向监控中心发送休眠信号并进入休眠状态，并在下次车辆启动后自动退出休眠状态。休眠状态数据上传频率可由监控中心远程设置或者按照初始化时设置的参数自动持续降低数据上传频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关闭除无线通信模块外其它不必要设备，卫星定位模块在需要上传时自动唤醒；（提供具有</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标识的第三方检测机构检测报告，扫描上传）。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3.10.6</w:t>
      </w:r>
      <w:r>
        <w:rPr>
          <w:rFonts w:ascii="SimSun" w:hAnsi="SimSun" w:eastAsia="SimSun" w:cs="SimSun"/>
          <w:color w:val="000000"/>
          <w:sz w:val="24"/>
        </w:rPr>
        <w:t xml:space="preserve">▲具备电气性能（含电源电压适应性、耐电源极性反接、耐电源过电压性、断电保护性能、低压保护性能等）合格检测报告；（提供具有</w:t>
      </w:r>
      <w:r>
        <w:rPr>
          <w:rFonts w:ascii="Times New Roman" w:hAnsi="Times New Roman" w:eastAsia="Times New Roman" w:cs="Times New Roman"/>
          <w:color w:val="000000"/>
          <w:sz w:val="24"/>
        </w:rPr>
        <w:t xml:space="preserve">CMA</w:t>
      </w:r>
      <w:r>
        <w:rPr>
          <w:rFonts w:ascii="SimSun" w:hAnsi="SimSun" w:eastAsia="SimSun" w:cs="SimSun"/>
          <w:color w:val="000000"/>
          <w:sz w:val="24"/>
        </w:rPr>
        <w:t xml:space="preserve">标识的第三方检测机构检测报告，扫描件上传）。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3.10.7</w:t>
      </w:r>
      <w:r>
        <w:rPr>
          <w:rFonts w:ascii="SimSun" w:hAnsi="SimSun" w:eastAsia="SimSun" w:cs="SimSun"/>
          <w:color w:val="000000"/>
          <w:sz w:val="24"/>
        </w:rPr>
        <w:t xml:space="preserve">原设备损坏后，设备上</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及授权可转移到其他设备上使用。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3.11急救车载监控10套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内置的硬盘盒上带有风扇模块和加热模块；硬盘盒可插拔；可支持2盘位硬盘(2.5寸),最大可支持4TB,可显示硬盘健康状态；设备内置硬盘盒支持录像导出,导出平均速度可达50MB/秒以上；可外接车载键盘,并可用车载键盘对接入的云台进行转动、抓图、录像、变倍、聚焦、亮度、照明等控制；SD卡最大可支持256G,具有在超出存储总容量时记录自动覆盖功能;SD卡可用作备份或存储；可设置智能编码功能开启或关闭；支持接入H,265、H.264、H,264H、H.264B、MPEG4编码格式的网络视频；支持录像回放,回放最高</w:t>
      </w:r>
      <w:r>
        <w:rPr>
          <w:rFonts w:ascii="SimSun" w:hAnsi="SimSun" w:eastAsia="SimSun" w:cs="SimSun"/>
          <w:color w:val="000000"/>
          <w:sz w:val="24"/>
        </w:rPr>
        <w:t xml:space="preserve">分辨率为800W (3840× 2160)；配置3个摄像头，2*2T硬盘。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3.12电子病历终端10套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配置：屏幕采用2K直屏，充电67W快充，电池容量5500mAh，运行内存12GB；存储：256GB；电子病历APP及授权：符合院前急救病历书写规范；需与中心现行调度系统的调度任务关联；需与中心在用电子病历服务端配套使用；需与分站电子病历平台互通，无论在两者任何一处填输均可实现自动同步；APP自带中心服务端账号授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3.13急救联网调度监控1套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图像传感器总像素：≥248万数；最低照度： 彩色：0.05Lux/F1.4 黑白：0.005Lux/F1.4   0Lux（红外灯开启）；白平衡：自动/手动/跟踪/室外/室内/室外自动/钠灯自动/钠灯；主码流分辨率及帧率：50Hz:25fps(1920×1080)、50fps(1280×720)、25fps(704×576)、60Hz:30fps(1920×1080)、60fps(1280×720)、30fps(704×480)；子码流分辨率及帧率：50Hz:25fps(704×576)、25fps(352</w:t>
      </w:r>
      <w:r>
        <w:rPr>
          <w:rFonts w:ascii="SimSun" w:hAnsi="SimSun" w:eastAsia="SimSun" w:cs="SimSun"/>
          <w:color w:val="000000"/>
          <w:sz w:val="24"/>
        </w:rPr>
        <w:t xml:space="preserve">×288)、60Hz:30fps(704×480)、30fps(352×240)；网络协议：IPv4/IPv6,HTTP,HTTPS,802.1x,Qos,FTP,SMTP,UPnP,SNMP,DNS,DDNS,NTP,RTSP,RTP,TCP,UDP,IGMP,ICMP,DHCP,PPPoE。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3.14急救调度打印机1套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A4幅面、黑白激光、USB接口，网络打印，输出精度≥600dpi。</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3.15急救调度任务接收终端1套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需采用板载设计；配置不少于1颗国产C86架构CPU，每颗CPU物理核心数≥8核，每颗CPU主频≥3.0GHz，每颗CPU三级缓存≥16MB，支持超线程技术，线程数量≥16，TDP≤65W，内存≥16G；固态硬盘≥500GB；千兆网卡；须预装正版国产桌面操作系统(永久授权，原厂3年技术支持服务)；高性能≥23寸以上曲面液晶显示器1台，音箱。</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3.16医院急诊预告知联网专用终端1套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≥75寸触控一体机，预装正版操作系统；工业工控主板；内存：≥8G；硬盘：≥500G固态硬盘。</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3.17医用单兵设备10台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3.17.1Android11以上操作系统；≥4G+64G运行内存；支持WIFI和蓝牙；≥2.4寸IPS全视角高清高亮触摸显示屏。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3.17.2▲摄像头：设备具备≥3个摄像头，至少具有一个微云台防抖摄像头和一个红外摄像头。（提供承诺函，承诺提供的设备能够满足招标文件要求）。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3.17.3▲防抖功能：设备同时支持微云台机械防抖功能和 EIS 电子防抖功能，且设备在1Hz振动频率、振动幅度 ≥6°条件下，同一位置点在视音频信息中的最大振动像素差应≤10 像素。（提供承诺函，承诺提供的设备能够满足招标文件要求）。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3.17.4▲防抖摄录功能：设备支持在预览界面和打开录像状态下，自动开启微云台防抖功能，在微云台作用下摄像头向不同方向运动并保持平衡。（提供承诺函，承诺提供的设备能够满足招标文件要求）。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3.18采集站1套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采集站，高清触摸液晶屏≥10.1英寸，硬盘位≥2个，支持Mini/Micro/typeC- USB *≥10口高速采集；含≥4T存储；与急救音视频平台配套使用，支持执法记录仪音视频数据采集，查询、播放、下载等。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3.19领导指挥终端PAD1套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5G全网通；处理器不低于2.2HZ；运行内存8G；存储内存256G；电池≥7000mAh；工作温度：-20℃~+60℃；含定制保护壳。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3.20领导指挥终端1套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CPU主频≥2.6GHz；最高睿频≥ 5GHz运行流畅；核心/线程数 ≥十二线程多任务运行强；三级缓存≥12MB；内存容量≥16GB运行流畅；硬盘容量≥256GB；硬盘描述 SSD固态硬盘 ；屏幕类型 IPS；屏幕尺寸≥15.6英寸；显示比例 16:9；屏幕分辨率≥1920x1080全高清屏；屏幕刷新率≥60Hz；内置扬声器；内置麦克风；无线网卡 WiFi6，支持802.11ax无线协议，支持双频（2.4GHz+5GHz）；支持蓝牙。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四、商务要求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下列条款中甲方为：宝应县人民医院，乙方为：本项目的中标投标人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4.1★交货期：自合同签订之日起3个月内完成开发调试进入试运行阶段，并稳定运行1个月；验收时间：系统试运行满30天；验收标准：符合招标文件及合同要求。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4.2★交货地点：宝应县人民医院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4.3★付款条件：合同签订后且乙方向甲方出具发票后，甲方10个工作日内支付合同款的30%，项目验收合格后，且甲方收到乙方开具的等额发票10个工作日内，甲方一次性支付合同款的70%。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4.4包装和运输：</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使用说明书、质量检验证明书、随配附件和工具以及清单一并附于货物内；乙方在货物发运手续办理完毕后24小时内或货到甲方48小时前通知甲方，以准备接货；货物在交付甲方前发生的风险均由乙方负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4.5售后服务：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乙方应按招标文件规定的货物性能、技术要求、质量标准向甲方提供未经使用的全新产品；乙方提供的货物在质量期内因货物本身的质量问题发生故障，乙方应负责免费更换。对达不到技术要求者，根据实际情况，经双方协商，可按以下办法处理；更换：由乙方承担所发生的全部费用；贬值处理：由甲乙双方合议定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如在使用过程中发生质量问题，乙方在接到甲方通知后在48小时内到达甲方现场。在质保期内，乙方应对货物出现的质量及安全问题负责处理解决并承担一切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供应商所投货物提供整体质保期（可以优于但不能低于）≥3年，并提交服务承诺函（自交货验收合格之日起计），因人为因素出现的故障不在免费保修范围内。超过保修期的机器设备，终生维修，维修时只收部件成本费。如质保期内甲方增加采购本项目供货清单中的货物，乙方供货价不得高于本项目单价（以分项报价表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4.6技术培训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4.7违约金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4.7.1除不可抗力外，如果乙方没有按照本合同约定的期限、地点和方式履行，那么甲方可要求乙方支付违约金，违约金按每迟延履行一日的应提供而未提供服务价格的1%计算，最高限额为本合同总价的10%；迟延履行的违约金计算数额达到前述最高限额之日起，甲方有权在要求乙方支付违约金的同时，书面通知乙方解除本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除不可抗力外，如果甲方没有按照本合同约定的付款方式付款，那么乙方可要求甲方支付违约金，违约金按每迟延付款一日的应付而未付款的1%计算，最高限额为本合同总价的10%；迟延付款的违约金计算数额达到前述最高限额之日起，乙方有权在要求甲方支付违约金的同时，书面通知甲方解除本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人员配置要求：需要根据项目建设内容和进度需要，派驻具有一定资质能力水平的成员组成项目小组对急救信息系统进行实施及服务，要求项目建设期团队人员不少于2人,其中驻场专职人员不少于2人（其中项目负责人1人，技术负责人1人）。人员名单均需报采购方备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4.9★乙方须承诺质保期满后，整体项目的售后服务费用不超过合同金额的8%/年。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五、其他说明：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4.1上述加注“★”符号的关键条款指标，不允许负偏离，否则投标无效；加注“▲”符号的为需要提供佐证资料条款；其他为一般条款指标。</w:t>
      </w:r>
      <w:r>
        <w:rPr>
          <w:rFonts w:ascii="SimSun" w:hAnsi="SimSun" w:eastAsia="SimSun" w:cs="SimSun"/>
          <w:i/>
          <w:color w:val="000000"/>
          <w:sz w:val="24"/>
          <w:u w:val="single"/>
        </w:rPr>
        <w:t xml:space="preserve">本招标文件中第四章《采购需求》所有加粗黑体字子项不允许缺漏，否则投标无效。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不允许负偏离，否则投标无效。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4.3关键技术指标及重要技术指标均需提供佐证材料。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评标委员会按照得分由高到低的顺序推荐3名中标候选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（一）资格审查要求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按照招标文件《第一章 投标邀请》申请人的资格要求进行资格审查。</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（二）符合性审查要求</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《开标一览表》的投标总报价没有超过最高限价的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《投标分项报价表》的设备名称、交付期（交货期）、数量和招标文件要求一致，且按照招标文件要求填写的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《技术要求响应及偏离表》按照要求填写的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《商务合同响应及偏离表》没有任何负偏离或缺漏的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投标文件格式》没有实质性缺漏的（即加斜体下划线内容）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没有采购人不能接受的附加条件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没有法律法规或者招标文件中涉及的无效标条款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bl>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6"/>
        <w:gridCol w:w="1218"/>
        <w:gridCol w:w="5715"/>
        <w:gridCol w:w="872"/>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评分因数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评分说明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报价部分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只对资格和符合性审查合格的响应文件进行价格评价，报价分采用低价优先法计算，即满足招标文件要求且投标价格最低的投标报价（因落实政府采购政策进行价格调整的，以调整后的价格计算评标基准价和投标报价）为评标基准价，其价格分为满分。其他供应商的价格分按照下列公报价式计算：投标报价得分=（评标基准价／投标报价）×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评委根据投标文件中《技术要求响应及偏离表》之款二技术规格及款三商务服务条款，结合投标文件提供的佐证材料等进行评审：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完全满足招标文件要求的得40分（“▲”符号的为重要指标共有10项总分20分，其他为一般指标计40项总分20分）；正偏离不加分，重要指标每负偏离一项扣2分，一般指标每条0.5分，直至扣完为止；</w:t>
            </w:r>
            <w:r>
              <w:rPr>
                <w:rFonts w:ascii="SimSun" w:hAnsi="SimSun" w:eastAsia="SimSun" w:cs="SimSun"/>
                <w:b/>
                <w:color w:val="000000"/>
                <w:sz w:val="22"/>
              </w:rPr>
              <w:t xml:space="preserve">（注：带“</w:t>
            </w:r>
            <w:r>
              <w:rPr>
                <w:rFonts w:ascii="SimSun" w:hAnsi="SimSun" w:eastAsia="SimSun" w:cs="SimSun"/>
                <w:color w:val="000000"/>
                <w:sz w:val="24"/>
              </w:rPr>
              <w:t xml:space="preserve">▲</w:t>
            </w:r>
            <w:r>
              <w:rPr>
                <w:rFonts w:ascii="SimSun" w:hAnsi="SimSun" w:eastAsia="SimSun" w:cs="SimSun"/>
                <w:b/>
                <w:color w:val="000000"/>
                <w:sz w:val="22"/>
              </w:rPr>
              <w:t xml:space="preserve">”项重要技术参数须根据“项目技术要求”中的要求在投标文件中提供相关证明材料作为佐证，如未提供或不符合要求的则视为该项负偏离。）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商务部分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整体</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规划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根据投标人提供针对本项目的</w:t>
            </w:r>
            <w:r>
              <w:rPr>
                <w:rFonts w:ascii="SimSun" w:hAnsi="SimSun" w:eastAsia="SimSun" w:cs="SimSun"/>
                <w:b/>
                <w:color w:val="000000"/>
                <w:sz w:val="24"/>
                <w:u w:val="single"/>
              </w:rPr>
              <w:t xml:space="preserve">整体规划</w:t>
            </w:r>
            <w:r>
              <w:rPr>
                <w:rFonts w:ascii="SimSun" w:hAnsi="SimSun" w:eastAsia="SimSun" w:cs="SimSun"/>
                <w:color w:val="000000"/>
                <w:sz w:val="24"/>
              </w:rPr>
              <w:t xml:space="preserve">进行打分，内容包括但不限于：</w:t>
            </w:r>
            <w:r>
              <w:rPr>
                <w:rFonts w:ascii="SimSun" w:hAnsi="SimSun" w:eastAsia="SimSun" w:cs="SimSun"/>
                <w:b/>
                <w:color w:val="000000"/>
                <w:sz w:val="24"/>
              </w:rPr>
              <w:t xml:space="preserve">系统建设背景、建设要求、数据安全、执行规范、总体思路和对</w:t>
            </w:r>
            <w:r>
              <w:rPr>
                <w:rFonts w:ascii="Times New Roman" w:hAnsi="Times New Roman" w:eastAsia="Times New Roman" w:cs="Times New Roman"/>
                <w:b/>
                <w:color w:val="000000"/>
                <w:sz w:val="24"/>
              </w:rPr>
              <w:t xml:space="preserve">120</w:t>
            </w:r>
            <w:r>
              <w:rPr>
                <w:rFonts w:ascii="SimSun" w:hAnsi="SimSun" w:eastAsia="SimSun" w:cs="SimSun"/>
                <w:b/>
                <w:color w:val="000000"/>
                <w:sz w:val="24"/>
              </w:rPr>
              <w:t xml:space="preserve">指挥调度系统业务关联配套使用的要求</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以上相关内容每有一项内容完整详细，条理清晰且符合采购实际需求的得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每一项内容出现一处存在缺陷的扣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分，缺项不得分。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缺陷是指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售后</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根据投标人提供针对本项目的</w:t>
            </w:r>
            <w:r>
              <w:rPr>
                <w:rFonts w:ascii="SimSun" w:hAnsi="SimSun" w:eastAsia="SimSun" w:cs="SimSun"/>
                <w:b/>
                <w:color w:val="000000"/>
                <w:sz w:val="24"/>
                <w:u w:val="single"/>
              </w:rPr>
              <w:t xml:space="preserve">售后服务</w:t>
            </w:r>
            <w:r>
              <w:rPr>
                <w:rFonts w:ascii="SimSun" w:hAnsi="SimSun" w:eastAsia="SimSun" w:cs="SimSun"/>
                <w:color w:val="000000"/>
                <w:sz w:val="24"/>
              </w:rPr>
              <w:t xml:space="preserve">进行打分，内容需包括但不限于：</w:t>
            </w:r>
            <w:r>
              <w:rPr>
                <w:rFonts w:ascii="SimSun" w:hAnsi="SimSun" w:eastAsia="SimSun" w:cs="SimSun"/>
                <w:b/>
                <w:color w:val="000000"/>
                <w:sz w:val="24"/>
              </w:rPr>
              <w:t xml:space="preserve">售后服务承诺和保证、售后服务保证体系、售后服务网点配置和响应时间、遇重大技术问题中标人可提供现场技术支持、零配件优惠供应承诺。</w:t>
            </w: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以上相关内容每有一项内容完整详细，条理清晰且符合采购实际需求的得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每一项内容出现一处存在缺陷的扣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分，缺项不得分。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缺陷是指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综合</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、投标人具有电子与智能化工程专业承包一级资质证书且在有效期以内的得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分；具有电子与智能化工程专业承包二级资质证书且在有效期以内的得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、投标人具有信息系统服务交付能力（</w:t>
            </w:r>
            <w:r>
              <w:rPr>
                <w:rFonts w:ascii="Times New Roman" w:hAnsi="Times New Roman" w:eastAsia="Times New Roman" w:cs="Times New Roman"/>
                <w:color w:val="000000"/>
                <w:sz w:val="24"/>
              </w:rPr>
              <w:t xml:space="preserve">CCID</w:t>
            </w:r>
            <w:r>
              <w:rPr>
                <w:rFonts w:ascii="SimSun" w:hAnsi="SimSun" w:eastAsia="SimSun" w:cs="SimSun"/>
                <w:color w:val="000000"/>
                <w:sz w:val="24"/>
              </w:rPr>
              <w:t xml:space="preserve">）等级一级证书且在有效期以内的得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分，具有信息系统服务交付能力（</w:t>
            </w:r>
            <w:r>
              <w:rPr>
                <w:rFonts w:ascii="Times New Roman" w:hAnsi="Times New Roman" w:eastAsia="Times New Roman" w:cs="Times New Roman"/>
                <w:color w:val="000000"/>
                <w:sz w:val="24"/>
              </w:rPr>
              <w:t xml:space="preserve">CCID</w:t>
            </w:r>
            <w:r>
              <w:rPr>
                <w:rFonts w:ascii="SimSun" w:hAnsi="SimSun" w:eastAsia="SimSun" w:cs="SimSun"/>
                <w:color w:val="000000"/>
                <w:sz w:val="24"/>
              </w:rPr>
              <w:t xml:space="preserve">）等级二级证书且在有效期以内的得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、投标人具有信息系统建设和服务能力</w:t>
            </w:r>
            <w:r>
              <w:rPr>
                <w:rFonts w:ascii="Times New Roman" w:hAnsi="Times New Roman" w:eastAsia="Times New Roman" w:cs="Times New Roman"/>
                <w:color w:val="000000"/>
                <w:sz w:val="24"/>
              </w:rPr>
              <w:t xml:space="preserve">(CS5)</w:t>
            </w:r>
            <w:r>
              <w:rPr>
                <w:rFonts w:ascii="SimSun" w:hAnsi="SimSun" w:eastAsia="SimSun" w:cs="SimSun"/>
                <w:color w:val="000000"/>
                <w:sz w:val="24"/>
              </w:rPr>
              <w:t xml:space="preserve">证书在有效期以内得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具有信息系统建设和服务能力</w:t>
            </w:r>
            <w:r>
              <w:rPr>
                <w:rFonts w:ascii="Times New Roman" w:hAnsi="Times New Roman" w:eastAsia="Times New Roman" w:cs="Times New Roman"/>
                <w:color w:val="000000"/>
                <w:sz w:val="24"/>
              </w:rPr>
              <w:t xml:space="preserve">(CS4)</w:t>
            </w:r>
            <w:r>
              <w:rPr>
                <w:rFonts w:ascii="SimSun" w:hAnsi="SimSun" w:eastAsia="SimSun" w:cs="SimSun"/>
                <w:color w:val="000000"/>
                <w:sz w:val="24"/>
              </w:rPr>
              <w:t xml:space="preserve">证书在有效期以内得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、投标人具有信息安全服务资质认证证书</w:t>
            </w:r>
            <w:r>
              <w:rPr>
                <w:rFonts w:ascii="Times New Roman" w:hAnsi="Times New Roman" w:eastAsia="Times New Roman" w:cs="Times New Roman"/>
                <w:color w:val="000000"/>
                <w:sz w:val="24"/>
              </w:rPr>
              <w:t xml:space="preserve">(CCRC)</w:t>
            </w:r>
            <w:r>
              <w:rPr>
                <w:rFonts w:ascii="SimSun" w:hAnsi="SimSun" w:eastAsia="SimSun" w:cs="SimSun"/>
                <w:color w:val="000000"/>
                <w:sz w:val="24"/>
              </w:rPr>
              <w:t xml:space="preserve">且在有效期以内的，一级得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分，二级得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、投标人具有数字化技术应用与创新能力评价证书的得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（提供以上</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项证书，原件扫描上传）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类似</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业绩合同签订时间应自</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日（以合同签订时间为准）以来，签订类似项目业绩的，每提供一个合同得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分。（需附合同扫描件，扫描件内容须包括但不限于合同名称、签订双方名称、签订时间、主要服务内容、双方盖章页。）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投标人投入本项目的项目团队成员具有如下能力：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、项目经理，具有信息系统项目管理师证书、</w:t>
            </w:r>
            <w:r>
              <w:rPr>
                <w:rFonts w:ascii="Times New Roman" w:hAnsi="Times New Roman" w:eastAsia="Times New Roman" w:cs="Times New Roman"/>
                <w:color w:val="000000"/>
                <w:sz w:val="24"/>
              </w:rPr>
              <w:t xml:space="preserve">ITSS</w:t>
            </w:r>
            <w:r>
              <w:rPr>
                <w:rFonts w:ascii="SimSun" w:hAnsi="SimSun" w:eastAsia="SimSun" w:cs="SimSun"/>
                <w:color w:val="000000"/>
                <w:sz w:val="24"/>
              </w:rPr>
              <w:t xml:space="preserve">信息技术应用创新服务经理证书、信息系统业务安全服务工程师证书；每提供一个得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、项目技术负责人，具有</w:t>
            </w:r>
            <w:r>
              <w:rPr>
                <w:rFonts w:ascii="Times New Roman" w:hAnsi="Times New Roman" w:eastAsia="Times New Roman" w:cs="Times New Roman"/>
                <w:color w:val="000000"/>
                <w:sz w:val="24"/>
              </w:rPr>
              <w:t xml:space="preserve">IT</w:t>
            </w:r>
            <w:r>
              <w:rPr>
                <w:rFonts w:ascii="SimSun" w:hAnsi="SimSun" w:eastAsia="SimSun" w:cs="SimSun"/>
                <w:color w:val="000000"/>
                <w:sz w:val="24"/>
              </w:rPr>
              <w:t xml:space="preserve">服务项目经理证书、注册信息安全工程师 （</w:t>
            </w:r>
            <w:r>
              <w:rPr>
                <w:rFonts w:ascii="Times New Roman" w:hAnsi="Times New Roman" w:eastAsia="Times New Roman" w:cs="Times New Roman"/>
                <w:color w:val="000000"/>
                <w:sz w:val="24"/>
              </w:rPr>
              <w:t xml:space="preserve">CISP</w:t>
            </w:r>
            <w:r>
              <w:rPr>
                <w:rFonts w:ascii="SimSun" w:hAnsi="SimSun" w:eastAsia="SimSun" w:cs="SimSun"/>
                <w:color w:val="000000"/>
                <w:sz w:val="24"/>
              </w:rPr>
              <w:t xml:space="preserve">）证书；每提供一个得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、项目组成员（不含项目经理、项目技术负责人），具有用户研究工程师证书、系统架构设计师证书、软件设计师证书、具有软件测试工程师证书；每提供一个得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（提供以上</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项证书和投标人为其缴纳近三个月内任意一个月的社保证明，原件扫描上传，一人多证不重复计分）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评审过程中出现下列情形之一的，评审委员会应当启动异常低价投标（响应）审查程序：（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）投标（响应）报价低于采购项目预算</w:t>
      </w:r>
      <w:r>
        <w:rPr>
          <w:rFonts w:ascii="Times New Roman" w:hAnsi="Times New Roman" w:eastAsia="Times New Roman" w:cs="Times New Roman"/>
          <w:color w:val="000000"/>
          <w:sz w:val="21"/>
        </w:rPr>
        <w:t xml:space="preserve">50% </w:t>
      </w:r>
      <w:r>
        <w:rPr>
          <w:rFonts w:ascii="SimSun" w:hAnsi="SimSun" w:eastAsia="SimSun" w:cs="SimSun"/>
          <w:color w:val="000000"/>
          <w:sz w:val="21"/>
        </w:rPr>
        <w:t xml:space="preserve">的，即投标（响应）报价＜采购项目预算×</w:t>
      </w:r>
      <w:r>
        <w:rPr>
          <w:rFonts w:ascii="Times New Roman" w:hAnsi="Times New Roman" w:eastAsia="Times New Roman" w:cs="Times New Roman"/>
          <w:color w:val="000000"/>
          <w:sz w:val="21"/>
        </w:rPr>
        <w:t xml:space="preserve">50%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）投标（响应）报价低于采购项目最高限价</w:t>
      </w: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的，即投标（响应）报价＜采购项目最高限价×</w:t>
      </w:r>
      <w:r>
        <w:rPr>
          <w:rFonts w:ascii="Times New Roman" w:hAnsi="Times New Roman" w:eastAsia="Times New Roman" w:cs="Times New Roman"/>
          <w:color w:val="000000"/>
          <w:sz w:val="21"/>
        </w:rPr>
        <w:t xml:space="preserve">45% </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）评审委员会认定的供应商报价过低、有可能影响产品质量或者不能诚信履约的其他情形。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启动异常低价投标（响应）审查后，评审委员会应当现场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二、上一年度的财务状况报告（投标人成立不满一年无需提供）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十、企业报价折扣证明（如适用）（中小企业声明函、残疾人福利性单位声明函）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十三、技术要求响应及偏离表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十四、商务合同响应及偏离表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0"/>
        <w:jc w:val="both"/>
        <w:spacing w:before="0" w:after="0" w:line="85" w:lineRule="atLeast"/>
        <w:rPr>
          <w:bCs/>
          <w:i/>
          <w:u w:val="single"/>
        </w:rPr>
        <w:pBdr>
          <w:top w:val="none" w:color="000000" w:sz="4" w:space="0"/>
          <w:left w:val="none" w:color="000000" w:sz="4" w:space="0"/>
          <w:bottom w:val="none" w:color="000000" w:sz="4" w:space="0"/>
          <w:right w:val="none" w:color="000000" w:sz="4" w:space="0"/>
        </w:pBdr>
      </w:pPr>
      <w:r>
        <w:rPr>
          <w:rFonts w:ascii="SimSun" w:hAnsi="SimSun" w:eastAsia="SimSun" w:cs="SimSun"/>
          <w:i/>
          <w:iCs/>
          <w:color w:val="000000"/>
          <w:sz w:val="24"/>
          <w:u w:val="single"/>
        </w:rPr>
        <w:t xml:space="preserve">十六、主要标的信息</w:t>
      </w:r>
      <w:r>
        <w:rPr>
          <w:i/>
          <w:iCs/>
          <w:u w:val="single"/>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一、法人或者其他组织的营业执照等证明文件，自然人的身份证明</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二、上一年度的财务状况报告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六、供应商信用承诺函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七、特定资格要求的证明文件</w:t>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br w:type="page" w:clear="all"/>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八、法人授权书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附：法人代表及被授权人的身份证正反面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（九）投标函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根据贵方的项目编号为</w:t>
      </w:r>
      <w:r>
        <w:rPr>
          <w:rFonts w:ascii="SimSun" w:hAnsi="SimSun" w:eastAsia="SimSun" w:cs="SimSun"/>
          <w:b/>
          <w:color w:val="000000"/>
          <w:sz w:val="24"/>
        </w:rPr>
        <w:t xml:space="preserve">JSZC-321023-SHGK-G2025-0163（代理机构编号：1214-254111530WDX）</w:t>
      </w:r>
      <w:r>
        <w:rPr>
          <w:rFonts w:ascii="SimSun" w:hAnsi="SimSun" w:eastAsia="SimSun" w:cs="SimSun"/>
          <w:color w:val="000000"/>
          <w:sz w:val="24"/>
        </w:rPr>
        <w:t xml:space="preserve">的招标文件，正式授权下述签字人_________________(姓名)代表我方______________（投标人的名称），全权处理本次项目投标的有关事宜。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十、中小企业声明函（货物）</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keepLines/>
        <w:spacing w:before="300" w:after="30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333333"/>
          <w:sz w:val="21"/>
        </w:rPr>
        <w:t xml:space="preserve">中小微企业划型标准</w:t>
      </w:r>
      <w:r>
        <w:rPr>
          <w:rFonts w:ascii="Arial" w:hAnsi="Arial" w:eastAsia="Arial" w:cs="Arial"/>
          <w:b/>
          <w:color w:val="666666"/>
          <w:sz w:val="21"/>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中型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小型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微型</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农、林、牧、渔</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工业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建筑业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6000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6000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批发业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5</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零售业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交通运输业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仓储业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邮政业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住宿业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餐饮业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信息传输业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软件和信息技术服务业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房地产开发经营</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物业管理</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租赁和商务服务业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8000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120000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8000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其他未列明行业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bl>
    <w:p>
      <w:pPr>
        <w:ind w:left="0" w:right="0" w:firstLine="0"/>
        <w:spacing w:before="300" w:after="452"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中小微企业划型标准如下：</w:t>
      </w:r>
      <w:r/>
    </w:p>
    <w:p>
      <w:pPr>
        <w:ind w:left="0" w:right="0" w:firstLine="810"/>
        <w:spacing w:before="300" w:after="452"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说明：上述标准参照《关于印发中小企业划型标准规定的通知》（工信部联企业</w:t>
      </w:r>
      <w:r>
        <w:rPr>
          <w:rFonts w:ascii="SimSun" w:hAnsi="SimSun" w:eastAsia="SimSun" w:cs="SimSun"/>
          <w:b/>
          <w:color w:val="666666"/>
          <w:sz w:val="21"/>
        </w:rPr>
        <w:t xml:space="preserve">[2011]300</w:t>
      </w:r>
      <w:r>
        <w:rPr>
          <w:rFonts w:ascii="DengXian" w:hAnsi="DengXian" w:eastAsia="DengXian" w:cs="DengXian"/>
          <w:b/>
          <w:color w:val="666666"/>
          <w:sz w:val="21"/>
        </w:rPr>
        <w:t xml:space="preserve">号），大型、中型和小型企业须同时满足所列指标的下限，否则下划一档；微型企业只须满足所列指标中的一项即可。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残疾人福利性单位声明函（如适用）</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589"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十一、联合体协议（本项目不适用）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自愿组成联合体，参加江苏苏豪创新科技集团高科有限公司组织的采购编号为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十二、投标分项报价表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项目名称：宝应县人民医院院前急救信息平台采购项目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项目编号：JSZC-321023-SHGK-G2025-0163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代理机构编号：1214-254111530WDX</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1020"/>
        <w:gridCol w:w="1020"/>
        <w:gridCol w:w="1259"/>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3.该表格须按照招标文件《第四章 采购需求》之2：软件建设技术要求、3：配套设备技术要求的全部内容进行填写，本表格未填写或存在缺项的，视为无效投标。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十三、技术要求响应及偏离表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项目名称：宝应县人民医院院前急救信息平台采购项目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项目编号：JSZC-321023-SHGK-G2025-0163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代理机构编号：1214-254111530WDX</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2.本表格须按照招标文件《第四章 采购需求》的</w:t>
      </w:r>
      <w:r>
        <w:rPr>
          <w:rFonts w:ascii="SimSun" w:hAnsi="SimSun" w:eastAsia="SimSun" w:cs="SimSun"/>
          <w:b/>
          <w:color w:val="000000"/>
          <w:sz w:val="24"/>
          <w:u w:val="single"/>
        </w:rPr>
        <w:t xml:space="preserve">技术要求及商务要求</w:t>
      </w:r>
      <w:r>
        <w:rPr>
          <w:rFonts w:ascii="SimSun" w:hAnsi="SimSun" w:eastAsia="SimSun" w:cs="SimSun"/>
          <w:color w:val="000000"/>
          <w:sz w:val="24"/>
        </w:rPr>
        <w:t xml:space="preserve">的全部内容逐项响应，按照投标情况填写超出、符合或偏离；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▲参数须在本表格后附对应的证明材料。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十四、商务合同响应及偏离表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项目名称：宝应县人民医院院前急救信息平台采购项目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项目编号：JSZC-321023-SHGK-G2025-0163</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代理机构编号：1214-254111530WDX</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1.投标人须对招标文件《第三章 合同文本》进行填写此表，负偏离一条视为无效投标。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2.若投标人对招标文件《第三章 合同文本》没有提出修改要求的，可以提供经签署、盖章的空白表格，采购人将视为投标人完全接受招标文件《第三章 合同文本》内容。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是否小微企业制造：□是                                  □否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十六、主要标的信息</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主要标的信息（中标后将公示）</w:t>
      </w:r>
      <w:r/>
    </w:p>
    <w:p>
      <w:pPr>
        <w:ind w:left="0" w:right="0" w:firstLine="0"/>
        <w:jc w:val="both"/>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1"/>
        <w:gridCol w:w="42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十七、投标人认为有必要提供的其他资料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egoe UI">
    <w:panose1 w:val="020B0502040204020203"/>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59</w:t>
    </w:r>
    <w:r>
      <w:rPr>
        <w:rFonts w:ascii="宋体" w:hAnsi="宋体"/>
      </w:rPr>
      <w:fldChar w:fldCharType="end"/>
    </w:r>
    <w:r/>
  </w:p>
  <w:p>
    <w:pPr>
      <w:pStyle w:val="955"/>
      <w:jc w:val="center"/>
      <w:rPr>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3">
    <w:multiLevelType w:val="hybridMultilevel"/>
    <w:lvl w:ilvl="0">
      <w:start w:val="1"/>
      <w:numFmt w:val="bullet"/>
      <w:pStyle w:val="72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04"/>
      <w:isLgl w:val="false"/>
      <w:suff w:val="tab"/>
      <w:lvlText w:val="2.%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2">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1">
    <w:name w:val="TOC Heading"/>
    <w:uiPriority w:val="39"/>
    <w:unhideWhenUsed/>
  </w:style>
  <w:style w:type="paragraph" w:styleId="702" w:default="1">
    <w:name w:val="Normal"/>
    <w:next w:val="714"/>
    <w:uiPriority w:val="0"/>
    <w:qFormat/>
    <w:pPr>
      <w:jc w:val="both"/>
      <w:widowControl w:val="off"/>
    </w:pPr>
    <w:rPr>
      <w:rFonts w:ascii="Times New Roman" w:hAnsi="Times New Roman" w:eastAsia="宋体" w:cs="Times New Roman"/>
      <w:sz w:val="21"/>
      <w:szCs w:val="21"/>
      <w:lang w:val="en-US" w:eastAsia="zh-CN" w:bidi="ar-SA"/>
    </w:rPr>
  </w:style>
  <w:style w:type="paragraph" w:styleId="703">
    <w:name w:val="Heading 1"/>
    <w:basedOn w:val="702"/>
    <w:next w:val="702"/>
    <w:link w:val="784"/>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15"/>
    <w:link w:val="785"/>
    <w:uiPriority w:val="9"/>
    <w:unhideWhenUsed/>
    <w:qFormat/>
    <w:pPr>
      <w:numPr>
        <w:ilvl w:val="0"/>
        <w:numId w:val="1"/>
      </w:numPr>
      <w:keepLines/>
      <w:keepNext/>
      <w:outlineLvl w:val="1"/>
    </w:pPr>
    <w:rPr>
      <w:rFonts w:ascii="Arial" w:hAnsi="Arial" w:cs="Arial" w:eastAsiaTheme="minorEastAsia"/>
      <w:sz w:val="28"/>
    </w:rPr>
  </w:style>
  <w:style w:type="paragraph" w:styleId="705">
    <w:name w:val="Heading 3"/>
    <w:basedOn w:val="702"/>
    <w:next w:val="702"/>
    <w:link w:val="786"/>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87"/>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88"/>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89"/>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91"/>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92"/>
    <w:uiPriority w:val="9"/>
    <w:unhideWhenUsed/>
    <w:qFormat/>
    <w:pPr>
      <w:keepLines/>
      <w:keepNext/>
      <w:spacing w:before="320" w:after="200"/>
      <w:outlineLvl w:val="8"/>
    </w:pPr>
    <w:rPr>
      <w:rFonts w:ascii="Arial" w:hAnsi="Arial" w:eastAsia="Arial" w:cs="Arial"/>
      <w:i/>
      <w:iCs/>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Default"/>
    <w:next w:val="702"/>
    <w:uiPriority w:val="0"/>
    <w:qFormat/>
    <w:pPr>
      <w:widowControl w:val="off"/>
    </w:pPr>
    <w:rPr>
      <w:rFonts w:ascii="宋体" w:hAnsi="Times New Roman" w:eastAsia="宋体" w:cs="宋体"/>
      <w:color w:val="000000"/>
      <w:sz w:val="24"/>
      <w:szCs w:val="24"/>
      <w:lang w:val="en-US" w:eastAsia="zh-CN" w:bidi="ar-SA"/>
    </w:rPr>
  </w:style>
  <w:style w:type="paragraph" w:styleId="715">
    <w:name w:val="Normal Indent"/>
    <w:basedOn w:val="702"/>
    <w:next w:val="702"/>
    <w:link w:val="1032"/>
    <w:uiPriority w:val="0"/>
    <w:unhideWhenUsed/>
    <w:qFormat/>
    <w:pPr>
      <w:ind w:firstLine="420"/>
    </w:pPr>
  </w:style>
  <w:style w:type="paragraph" w:styleId="716">
    <w:name w:val="toc 7"/>
    <w:basedOn w:val="702"/>
    <w:next w:val="702"/>
    <w:uiPriority w:val="39"/>
    <w:unhideWhenUsed/>
    <w:qFormat/>
    <w:pPr>
      <w:ind w:left="1701"/>
      <w:spacing w:after="57"/>
    </w:p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2"/>
    <w:uiPriority w:val="99"/>
    <w:semiHidden/>
    <w:unhideWhenUsed/>
    <w:qFormat/>
    <w:pPr>
      <w:jc w:val="left"/>
    </w:pPr>
  </w:style>
  <w:style w:type="paragraph" w:styleId="719">
    <w:name w:val="Body Text"/>
    <w:basedOn w:val="702"/>
    <w:uiPriority w:val="0"/>
    <w:qFormat/>
    <w:rPr>
      <w:rFonts w:ascii="楷体_GB2312" w:hAnsi="Arial" w:eastAsia="楷体_GB2312"/>
      <w:sz w:val="28"/>
      <w:szCs w:val="28"/>
    </w:rPr>
  </w:style>
  <w:style w:type="paragraph" w:styleId="720">
    <w:name w:val="List Bullet 2"/>
    <w:basedOn w:val="702"/>
    <w:uiPriority w:val="99"/>
    <w:semiHidden/>
    <w:unhideWhenUsed/>
    <w:qFormat/>
    <w:pPr>
      <w:numPr>
        <w:ilvl w:val="0"/>
        <w:numId w:val="2"/>
      </w:numPr>
    </w:pPr>
  </w:style>
  <w:style w:type="paragraph" w:styleId="721">
    <w:name w:val="index 4"/>
    <w:basedOn w:val="702"/>
    <w:next w:val="702"/>
    <w:uiPriority w:val="0"/>
    <w:qFormat/>
    <w:pPr>
      <w:ind w:left="600" w:firstLine="200"/>
      <w:spacing w:line="360" w:lineRule="auto"/>
    </w:pPr>
    <w:rPr>
      <w:rFonts w:ascii="等线" w:hAnsi="等线" w:eastAsia="等线"/>
      <w:sz w:val="24"/>
      <w:szCs w:val="24"/>
    </w:rPr>
  </w:style>
  <w:style w:type="paragraph" w:styleId="722">
    <w:name w:val="toc 5"/>
    <w:basedOn w:val="702"/>
    <w:next w:val="702"/>
    <w:uiPriority w:val="39"/>
    <w:unhideWhenUsed/>
    <w:qFormat/>
    <w:pPr>
      <w:ind w:left="1134"/>
      <w:spacing w:after="57"/>
    </w:pPr>
  </w:style>
  <w:style w:type="paragraph" w:styleId="723">
    <w:name w:val="toc 3"/>
    <w:basedOn w:val="702"/>
    <w:next w:val="702"/>
    <w:uiPriority w:val="39"/>
    <w:unhideWhenUsed/>
    <w:qFormat/>
    <w:pPr>
      <w:ind w:left="567"/>
      <w:spacing w:after="57"/>
    </w:pPr>
  </w:style>
  <w:style w:type="paragraph" w:styleId="724">
    <w:name w:val="toc 8"/>
    <w:basedOn w:val="702"/>
    <w:next w:val="702"/>
    <w:uiPriority w:val="39"/>
    <w:unhideWhenUsed/>
    <w:qFormat/>
    <w:pPr>
      <w:ind w:left="1984"/>
      <w:spacing w:after="57"/>
    </w:pPr>
  </w:style>
  <w:style w:type="paragraph" w:styleId="725">
    <w:name w:val="Date"/>
    <w:basedOn w:val="702"/>
    <w:next w:val="702"/>
    <w:link w:val="1040"/>
    <w:uiPriority w:val="99"/>
    <w:semiHidden/>
    <w:unhideWhenUsed/>
    <w:qFormat/>
    <w:pPr>
      <w:ind w:left="100"/>
    </w:pPr>
  </w:style>
  <w:style w:type="paragraph" w:styleId="726">
    <w:name w:val="endnote text"/>
    <w:basedOn w:val="702"/>
    <w:link w:val="911"/>
    <w:uiPriority w:val="99"/>
    <w:semiHidden/>
    <w:unhideWhenUsed/>
    <w:qFormat/>
    <w:rPr>
      <w:sz w:val="20"/>
    </w:rPr>
  </w:style>
  <w:style w:type="paragraph" w:styleId="727">
    <w:name w:val="Balloon Text"/>
    <w:basedOn w:val="702"/>
    <w:link w:val="1038"/>
    <w:uiPriority w:val="99"/>
    <w:semiHidden/>
    <w:unhideWhenUsed/>
    <w:qFormat/>
    <w:rPr>
      <w:sz w:val="18"/>
      <w:szCs w:val="18"/>
    </w:rPr>
  </w:style>
  <w:style w:type="paragraph" w:styleId="728">
    <w:name w:val="Footer"/>
    <w:basedOn w:val="702"/>
    <w:link w:val="803"/>
    <w:uiPriority w:val="99"/>
    <w:unhideWhenUsed/>
    <w:qFormat/>
    <w:pPr>
      <w:tabs>
        <w:tab w:val="center" w:pos="7143" w:leader="none"/>
        <w:tab w:val="right" w:pos="14287" w:leader="none"/>
      </w:tabs>
    </w:pPr>
  </w:style>
  <w:style w:type="paragraph" w:styleId="729">
    <w:name w:val="Header"/>
    <w:basedOn w:val="702"/>
    <w:link w:val="801"/>
    <w:uiPriority w:val="99"/>
    <w:unhideWhenUsed/>
    <w:qFormat/>
    <w:pPr>
      <w:tabs>
        <w:tab w:val="center" w:pos="7143" w:leader="none"/>
        <w:tab w:val="right" w:pos="14287" w:leader="none"/>
      </w:tabs>
    </w:pPr>
  </w:style>
  <w:style w:type="paragraph" w:styleId="730">
    <w:name w:val="toc 1"/>
    <w:basedOn w:val="702"/>
    <w:next w:val="702"/>
    <w:uiPriority w:val="39"/>
    <w:unhideWhenUsed/>
    <w:qFormat/>
    <w:pPr>
      <w:spacing w:after="57"/>
    </w:pPr>
  </w:style>
  <w:style w:type="paragraph" w:styleId="731">
    <w:name w:val="toc 4"/>
    <w:basedOn w:val="702"/>
    <w:next w:val="702"/>
    <w:uiPriority w:val="39"/>
    <w:unhideWhenUsed/>
    <w:qFormat/>
    <w:pPr>
      <w:ind w:left="850"/>
      <w:spacing w:after="57"/>
    </w:pPr>
  </w:style>
  <w:style w:type="paragraph" w:styleId="732">
    <w:name w:val="Subtitle"/>
    <w:basedOn w:val="702"/>
    <w:next w:val="702"/>
    <w:link w:val="796"/>
    <w:uiPriority w:val="11"/>
    <w:qFormat/>
    <w:pPr>
      <w:spacing w:before="200" w:after="200"/>
    </w:pPr>
    <w:rPr>
      <w:sz w:val="24"/>
      <w:szCs w:val="24"/>
    </w:rPr>
  </w:style>
  <w:style w:type="paragraph" w:styleId="733">
    <w:name w:val="footnote text"/>
    <w:basedOn w:val="702"/>
    <w:link w:val="910"/>
    <w:uiPriority w:val="99"/>
    <w:semiHidden/>
    <w:unhideWhenUsed/>
    <w:qFormat/>
    <w:pPr>
      <w:spacing w:after="40"/>
    </w:pPr>
    <w:rPr>
      <w:sz w:val="18"/>
    </w:rPr>
  </w:style>
  <w:style w:type="paragraph" w:styleId="734">
    <w:name w:val="toc 6"/>
    <w:basedOn w:val="702"/>
    <w:next w:val="702"/>
    <w:uiPriority w:val="39"/>
    <w:unhideWhenUsed/>
    <w:qFormat/>
    <w:pPr>
      <w:ind w:left="1417"/>
      <w:spacing w:after="57"/>
    </w:pPr>
  </w:style>
  <w:style w:type="paragraph" w:styleId="735">
    <w:name w:val="table of figures"/>
    <w:basedOn w:val="702"/>
    <w:next w:val="702"/>
    <w:uiPriority w:val="99"/>
    <w:unhideWhenUsed/>
    <w:qFormat/>
  </w:style>
  <w:style w:type="paragraph" w:styleId="736">
    <w:name w:val="toc 2"/>
    <w:basedOn w:val="702"/>
    <w:next w:val="702"/>
    <w:uiPriority w:val="39"/>
    <w:unhideWhenUsed/>
    <w:qFormat/>
    <w:pPr>
      <w:ind w:left="283"/>
      <w:spacing w:after="57"/>
    </w:pPr>
  </w:style>
  <w:style w:type="paragraph" w:styleId="737">
    <w:name w:val="toc 9"/>
    <w:basedOn w:val="702"/>
    <w:next w:val="702"/>
    <w:uiPriority w:val="39"/>
    <w:unhideWhenUsed/>
    <w:qFormat/>
    <w:pPr>
      <w:ind w:left="2268"/>
      <w:spacing w:after="57"/>
    </w:pPr>
  </w:style>
  <w:style w:type="paragraph" w:styleId="738">
    <w:name w:val="Normal (Web)"/>
    <w:basedOn w:val="702"/>
    <w:uiPriority w:val="0"/>
    <w:qFormat/>
    <w:rPr>
      <w:sz w:val="24"/>
    </w:rPr>
  </w:style>
  <w:style w:type="paragraph" w:styleId="739">
    <w:name w:val="Title"/>
    <w:basedOn w:val="702"/>
    <w:next w:val="702"/>
    <w:link w:val="795"/>
    <w:uiPriority w:val="10"/>
    <w:qFormat/>
    <w:pPr>
      <w:contextualSpacing/>
      <w:spacing w:before="300" w:after="200"/>
    </w:pPr>
    <w:rPr>
      <w:sz w:val="48"/>
      <w:szCs w:val="48"/>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annotation reference"/>
    <w:basedOn w:val="712"/>
    <w:uiPriority w:val="99"/>
    <w:semiHidden/>
    <w:unhideWhenUsed/>
    <w:qFormat/>
    <w:rPr>
      <w:sz w:val="21"/>
      <w:szCs w:val="21"/>
    </w:rPr>
  </w:style>
  <w:style w:type="character" w:styleId="744">
    <w:name w:val="footnote reference"/>
    <w:uiPriority w:val="99"/>
    <w:unhideWhenUsed/>
    <w:qFormat/>
    <w:rPr>
      <w:vertAlign w:val="superscript"/>
    </w:rPr>
  </w:style>
  <w:style w:type="character" w:styleId="745" w:customStyle="1">
    <w:name w:val="标题 1 Char"/>
    <w:link w:val="746"/>
    <w:uiPriority w:val="0"/>
    <w:qFormat/>
    <w:rPr>
      <w:rFonts w:ascii="楷体_GB2312" w:hAnsi="Times New Roman" w:eastAsia="楷体_GB2312" w:cs="Times New Roman"/>
      <w:sz w:val="28"/>
      <w:szCs w:val="28"/>
    </w:rPr>
  </w:style>
  <w:style w:type="paragraph" w:styleId="746" w:customStyle="1">
    <w:name w:val="标题 11"/>
    <w:basedOn w:val="702"/>
    <w:next w:val="702"/>
    <w:link w:val="745"/>
    <w:uiPriority w:val="0"/>
    <w:qFormat/>
    <w:pPr>
      <w:jc w:val="center"/>
      <w:keepNext/>
      <w:outlineLvl w:val="0"/>
    </w:pPr>
    <w:rPr>
      <w:rFonts w:ascii="楷体_GB2312" w:eastAsia="楷体_GB2312"/>
      <w:sz w:val="28"/>
      <w:szCs w:val="28"/>
    </w:rPr>
  </w:style>
  <w:style w:type="character" w:styleId="747" w:customStyle="1">
    <w:name w:val="Heading 1 Char"/>
    <w:basedOn w:val="712"/>
    <w:uiPriority w:val="9"/>
    <w:qFormat/>
    <w:rPr>
      <w:rFonts w:ascii="Arial" w:hAnsi="Arial" w:eastAsia="Arial" w:cs="Arial"/>
      <w:sz w:val="40"/>
      <w:szCs w:val="40"/>
    </w:rPr>
  </w:style>
  <w:style w:type="character" w:styleId="748" w:customStyle="1">
    <w:name w:val="Heading 2 Char"/>
    <w:basedOn w:val="712"/>
    <w:uiPriority w:val="9"/>
    <w:qFormat/>
    <w:rPr>
      <w:rFonts w:ascii="Arial" w:hAnsi="Arial" w:eastAsia="Arial" w:cs="Arial"/>
      <w:sz w:val="34"/>
    </w:rPr>
  </w:style>
  <w:style w:type="character" w:styleId="749" w:customStyle="1">
    <w:name w:val="Heading 3 Char"/>
    <w:basedOn w:val="712"/>
    <w:uiPriority w:val="9"/>
    <w:qFormat/>
    <w:rPr>
      <w:rFonts w:ascii="Arial" w:hAnsi="Arial" w:eastAsia="Arial" w:cs="Arial"/>
      <w:sz w:val="30"/>
      <w:szCs w:val="30"/>
    </w:rPr>
  </w:style>
  <w:style w:type="character" w:styleId="750" w:customStyle="1">
    <w:name w:val="Heading 4 Char"/>
    <w:basedOn w:val="712"/>
    <w:uiPriority w:val="9"/>
    <w:qFormat/>
    <w:rPr>
      <w:rFonts w:ascii="Arial" w:hAnsi="Arial" w:eastAsia="Arial" w:cs="Arial"/>
      <w:b/>
      <w:bCs/>
      <w:sz w:val="26"/>
      <w:szCs w:val="26"/>
    </w:rPr>
  </w:style>
  <w:style w:type="character" w:styleId="751" w:customStyle="1">
    <w:name w:val="Heading 5 Char"/>
    <w:basedOn w:val="712"/>
    <w:uiPriority w:val="9"/>
    <w:qFormat/>
    <w:rPr>
      <w:rFonts w:ascii="Arial" w:hAnsi="Arial" w:eastAsia="Arial" w:cs="Arial"/>
      <w:b/>
      <w:bCs/>
      <w:sz w:val="24"/>
      <w:szCs w:val="24"/>
    </w:rPr>
  </w:style>
  <w:style w:type="character" w:styleId="752" w:customStyle="1">
    <w:name w:val="Heading 6 Char"/>
    <w:basedOn w:val="712"/>
    <w:uiPriority w:val="9"/>
    <w:qFormat/>
    <w:rPr>
      <w:rFonts w:ascii="Arial" w:hAnsi="Arial" w:eastAsia="Arial" w:cs="Arial"/>
      <w:b/>
      <w:bCs/>
      <w:sz w:val="22"/>
      <w:szCs w:val="22"/>
    </w:rPr>
  </w:style>
  <w:style w:type="character" w:styleId="753" w:customStyle="1">
    <w:name w:val="Heading 7 Char"/>
    <w:basedOn w:val="712"/>
    <w:uiPriority w:val="9"/>
    <w:qFormat/>
    <w:rPr>
      <w:rFonts w:ascii="Arial" w:hAnsi="Arial" w:eastAsia="Arial" w:cs="Arial"/>
      <w:b/>
      <w:bCs/>
      <w:i/>
      <w:iCs/>
      <w:sz w:val="22"/>
      <w:szCs w:val="22"/>
    </w:rPr>
  </w:style>
  <w:style w:type="character" w:styleId="754" w:customStyle="1">
    <w:name w:val="Heading 8 Char"/>
    <w:basedOn w:val="712"/>
    <w:uiPriority w:val="9"/>
    <w:qFormat/>
    <w:rPr>
      <w:rFonts w:ascii="Arial" w:hAnsi="Arial" w:eastAsia="Arial" w:cs="Arial"/>
      <w:i/>
      <w:iCs/>
      <w:sz w:val="22"/>
      <w:szCs w:val="22"/>
    </w:rPr>
  </w:style>
  <w:style w:type="character" w:styleId="755" w:customStyle="1">
    <w:name w:val="Heading 9 Char"/>
    <w:basedOn w:val="712"/>
    <w:uiPriority w:val="9"/>
    <w:qFormat/>
    <w:rPr>
      <w:rFonts w:ascii="Arial" w:hAnsi="Arial" w:eastAsia="Arial" w:cs="Arial"/>
      <w:i/>
      <w:iCs/>
      <w:sz w:val="21"/>
      <w:szCs w:val="21"/>
    </w:rPr>
  </w:style>
  <w:style w:type="character" w:styleId="756" w:customStyle="1">
    <w:name w:val="Title Char"/>
    <w:basedOn w:val="712"/>
    <w:uiPriority w:val="10"/>
    <w:qFormat/>
    <w:rPr>
      <w:sz w:val="48"/>
      <w:szCs w:val="48"/>
    </w:rPr>
  </w:style>
  <w:style w:type="character" w:styleId="757" w:customStyle="1">
    <w:name w:val="Subtitle Char"/>
    <w:basedOn w:val="712"/>
    <w:uiPriority w:val="11"/>
    <w:qFormat/>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Header Char"/>
    <w:basedOn w:val="712"/>
    <w:uiPriority w:val="99"/>
    <w:qFormat/>
  </w:style>
  <w:style w:type="character" w:styleId="761" w:customStyle="1">
    <w:name w:val="Caption Char"/>
    <w:uiPriority w:val="99"/>
    <w:qFormat/>
  </w:style>
  <w:style w:type="table" w:styleId="762" w:customStyle="1">
    <w:name w:val="无格式表格 1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3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无格式表格 4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无格式表格 51"/>
    <w:basedOn w:val="71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网格表 1 浅色1"/>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网格表 3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网格表 6 彩色1"/>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网格表 7 彩色1"/>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清单表 1 浅色1"/>
    <w:basedOn w:val="71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清单表 21"/>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清单表 5 深色1"/>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清单表 6 彩色1"/>
    <w:basedOn w:val="71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清单表 7 彩色1"/>
    <w:basedOn w:val="71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
    <w:uiPriority w:val="39"/>
    <w:unhideWhenUsed/>
    <w:qFormat/>
    <w:rPr>
      <w:rFonts w:ascii="Times New Roman" w:hAnsi="Times New Roman" w:eastAsia="宋体" w:cs="Times New Roman"/>
      <w:lang w:val="en-US" w:eastAsia="zh-CN" w:bidi="ar-SA"/>
    </w:rPr>
  </w:style>
  <w:style w:type="character" w:styleId="784" w:customStyle="1">
    <w:name w:val="标题 1 字符"/>
    <w:link w:val="703"/>
    <w:uiPriority w:val="9"/>
    <w:qFormat/>
    <w:rPr>
      <w:rFonts w:ascii="Arial" w:hAnsi="Arial" w:eastAsia="Arial" w:cs="Arial"/>
      <w:sz w:val="40"/>
      <w:szCs w:val="40"/>
    </w:rPr>
  </w:style>
  <w:style w:type="character" w:styleId="785" w:customStyle="1">
    <w:name w:val="标题 2 字符"/>
    <w:link w:val="704"/>
    <w:uiPriority w:val="9"/>
    <w:qFormat/>
    <w:rPr>
      <w:rFonts w:ascii="Arial" w:hAnsi="Arial" w:cs="Arial" w:eastAsiaTheme="minorEastAsia"/>
      <w:sz w:val="28"/>
      <w:szCs w:val="21"/>
    </w:rPr>
  </w:style>
  <w:style w:type="character" w:styleId="786" w:customStyle="1">
    <w:name w:val="标题 3 字符"/>
    <w:link w:val="705"/>
    <w:uiPriority w:val="9"/>
    <w:qFormat/>
    <w:rPr>
      <w:rFonts w:ascii="Arial" w:hAnsi="Arial" w:eastAsia="Arial" w:cs="Arial"/>
      <w:sz w:val="30"/>
      <w:szCs w:val="30"/>
    </w:rPr>
  </w:style>
  <w:style w:type="character" w:styleId="787" w:customStyle="1">
    <w:name w:val="标题 4 字符"/>
    <w:link w:val="706"/>
    <w:uiPriority w:val="9"/>
    <w:qFormat/>
    <w:rPr>
      <w:rFonts w:ascii="Arial" w:hAnsi="Arial" w:eastAsia="Arial" w:cs="Arial"/>
      <w:b/>
      <w:bCs/>
      <w:sz w:val="26"/>
      <w:szCs w:val="26"/>
    </w:rPr>
  </w:style>
  <w:style w:type="character" w:styleId="788" w:customStyle="1">
    <w:name w:val="标题 5 字符"/>
    <w:link w:val="707"/>
    <w:uiPriority w:val="9"/>
    <w:qFormat/>
    <w:rPr>
      <w:rFonts w:ascii="Arial" w:hAnsi="Arial" w:eastAsia="Arial" w:cs="Arial"/>
      <w:b/>
      <w:bCs/>
      <w:sz w:val="24"/>
      <w:szCs w:val="24"/>
    </w:rPr>
  </w:style>
  <w:style w:type="character" w:styleId="789" w:customStyle="1">
    <w:name w:val="标题 6 字符"/>
    <w:link w:val="708"/>
    <w:uiPriority w:val="9"/>
    <w:qFormat/>
    <w:rPr>
      <w:rFonts w:ascii="Arial" w:hAnsi="Arial" w:eastAsia="Arial" w:cs="Arial"/>
      <w:b/>
      <w:bCs/>
      <w:sz w:val="22"/>
      <w:szCs w:val="22"/>
    </w:rPr>
  </w:style>
  <w:style w:type="character" w:styleId="790" w:customStyle="1">
    <w:name w:val="标题 7 字符"/>
    <w:link w:val="709"/>
    <w:uiPriority w:val="9"/>
    <w:qFormat/>
    <w:rPr>
      <w:rFonts w:ascii="Arial" w:hAnsi="Arial" w:eastAsia="Arial" w:cs="Arial"/>
      <w:b/>
      <w:bCs/>
      <w:i/>
      <w:iCs/>
      <w:sz w:val="22"/>
      <w:szCs w:val="22"/>
    </w:rPr>
  </w:style>
  <w:style w:type="character" w:styleId="791" w:customStyle="1">
    <w:name w:val="标题 8 字符"/>
    <w:link w:val="710"/>
    <w:uiPriority w:val="9"/>
    <w:qFormat/>
    <w:rPr>
      <w:rFonts w:ascii="Arial" w:hAnsi="Arial" w:eastAsia="Arial" w:cs="Arial"/>
      <w:i/>
      <w:iCs/>
      <w:sz w:val="22"/>
      <w:szCs w:val="22"/>
    </w:rPr>
  </w:style>
  <w:style w:type="character" w:styleId="792" w:customStyle="1">
    <w:name w:val="标题 9 字符"/>
    <w:link w:val="711"/>
    <w:uiPriority w:val="9"/>
    <w:qFormat/>
    <w:rPr>
      <w:rFonts w:ascii="Arial" w:hAnsi="Arial" w:eastAsia="Arial" w:cs="Arial"/>
      <w:i/>
      <w:iCs/>
      <w:sz w:val="21"/>
      <w:szCs w:val="21"/>
    </w:rPr>
  </w:style>
  <w:style w:type="paragraph" w:styleId="793">
    <w:name w:val="List Paragraph"/>
    <w:basedOn w:val="702"/>
    <w:uiPriority w:val="34"/>
    <w:qFormat/>
    <w:pPr>
      <w:contextualSpacing/>
      <w:ind w:left="720"/>
    </w:pPr>
  </w:style>
  <w:style w:type="paragraph" w:styleId="794">
    <w:name w:val="No Spacing"/>
    <w:uiPriority w:val="1"/>
    <w:qFormat/>
    <w:rPr>
      <w:rFonts w:ascii="Calibri" w:hAnsi="Calibri" w:eastAsia="宋体" w:cs="Times New Roman"/>
      <w:lang w:val="en-US" w:eastAsia="zh-CN" w:bidi="ar-SA"/>
    </w:rPr>
  </w:style>
  <w:style w:type="character" w:styleId="795" w:customStyle="1">
    <w:name w:val="标题 字符"/>
    <w:link w:val="739"/>
    <w:uiPriority w:val="10"/>
    <w:qFormat/>
    <w:rPr>
      <w:sz w:val="48"/>
      <w:szCs w:val="48"/>
    </w:rPr>
  </w:style>
  <w:style w:type="character" w:styleId="796" w:customStyle="1">
    <w:name w:val="副标题 字符"/>
    <w:link w:val="732"/>
    <w:uiPriority w:val="11"/>
    <w:qFormat/>
    <w:rPr>
      <w:sz w:val="24"/>
      <w:szCs w:val="24"/>
    </w:rPr>
  </w:style>
  <w:style w:type="paragraph" w:styleId="797">
    <w:name w:val="Quote"/>
    <w:basedOn w:val="702"/>
    <w:next w:val="702"/>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702"/>
    <w:next w:val="702"/>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页眉 字符"/>
    <w:link w:val="729"/>
    <w:uiPriority w:val="99"/>
    <w:qFormat/>
  </w:style>
  <w:style w:type="character" w:styleId="802" w:customStyle="1">
    <w:name w:val="Footer Char"/>
    <w:uiPriority w:val="99"/>
    <w:qFormat/>
  </w:style>
  <w:style w:type="character" w:styleId="803" w:customStyle="1">
    <w:name w:val="页脚 字符"/>
    <w:link w:val="728"/>
    <w:uiPriority w:val="99"/>
    <w:qFormat/>
  </w:style>
  <w:style w:type="table" w:styleId="8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33"/>
    <w:uiPriority w:val="99"/>
    <w:qFormat/>
    <w:rPr>
      <w:sz w:val="18"/>
    </w:rPr>
  </w:style>
  <w:style w:type="character" w:styleId="911" w:customStyle="1">
    <w:name w:val="尾注文本 字符"/>
    <w:link w:val="726"/>
    <w:uiPriority w:val="99"/>
    <w:qFormat/>
    <w:rPr>
      <w:sz w:val="20"/>
    </w:rPr>
  </w:style>
  <w:style w:type="paragraph" w:styleId="912" w:customStyle="1">
    <w:name w:val="TOC 标题11"/>
    <w:uiPriority w:val="39"/>
    <w:unhideWhenUsed/>
    <w:qFormat/>
    <w:rPr>
      <w:rFonts w:ascii="Calibri" w:hAnsi="Calibri" w:eastAsia="宋体" w:cs="Times New Roman"/>
      <w:lang w:val="en-US" w:eastAsia="zh-CN" w:bidi="ar-SA"/>
    </w:rPr>
  </w:style>
  <w:style w:type="paragraph" w:styleId="913" w:customStyle="1">
    <w:name w:val="标题 21"/>
    <w:basedOn w:val="702"/>
    <w:next w:val="702"/>
    <w:link w:val="9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标题 31"/>
    <w:basedOn w:val="702"/>
    <w:next w:val="702"/>
    <w:link w:val="947"/>
    <w:uiPriority w:val="0"/>
    <w:qFormat/>
    <w:pPr>
      <w:keepLines/>
      <w:keepNext/>
      <w:spacing w:before="260" w:after="260" w:line="416" w:lineRule="auto"/>
      <w:outlineLvl w:val="2"/>
    </w:pPr>
    <w:rPr>
      <w:b/>
      <w:bCs/>
      <w:sz w:val="32"/>
      <w:szCs w:val="32"/>
    </w:rPr>
  </w:style>
  <w:style w:type="paragraph" w:styleId="915" w:customStyle="1">
    <w:name w:val="标题 41"/>
    <w:basedOn w:val="702"/>
    <w:next w:val="916"/>
    <w:link w:val="938"/>
    <w:uiPriority w:val="0"/>
    <w:qFormat/>
    <w:pPr>
      <w:keepLines/>
      <w:keepNext/>
      <w:spacing w:before="280" w:after="290" w:line="376" w:lineRule="auto"/>
      <w:outlineLvl w:val="3"/>
    </w:pPr>
    <w:rPr>
      <w:rFonts w:ascii="Arial" w:hAnsi="Arial" w:eastAsia="黑体" w:cs="Arial"/>
      <w:b/>
      <w:bCs/>
      <w:sz w:val="28"/>
      <w:szCs w:val="28"/>
    </w:rPr>
  </w:style>
  <w:style w:type="paragraph" w:styleId="916" w:customStyle="1">
    <w:name w:val="正文缩进1"/>
    <w:basedOn w:val="702"/>
    <w:link w:val="950"/>
    <w:uiPriority w:val="0"/>
    <w:qFormat/>
    <w:pPr>
      <w:ind w:firstLine="420"/>
    </w:pPr>
  </w:style>
  <w:style w:type="paragraph" w:styleId="917" w:customStyle="1">
    <w:name w:val="标题 51"/>
    <w:basedOn w:val="702"/>
    <w:next w:val="916"/>
    <w:link w:val="957"/>
    <w:uiPriority w:val="0"/>
    <w:qFormat/>
    <w:pPr>
      <w:keepNext/>
      <w:outlineLvl w:val="4"/>
    </w:pPr>
    <w:rPr>
      <w:rFonts w:ascii="宋体"/>
      <w:color w:val="000000"/>
      <w:sz w:val="28"/>
      <w:szCs w:val="28"/>
    </w:rPr>
  </w:style>
  <w:style w:type="paragraph" w:styleId="918" w:customStyle="1">
    <w:name w:val="标题 61"/>
    <w:basedOn w:val="702"/>
    <w:next w:val="702"/>
    <w:link w:val="936"/>
    <w:uiPriority w:val="0"/>
    <w:qFormat/>
    <w:pPr>
      <w:numPr>
        <w:ilvl w:val="5"/>
        <w:numId w:val="3"/>
      </w:numPr>
      <w:keepLines/>
      <w:keepNext/>
      <w:spacing w:before="240" w:after="64" w:line="320" w:lineRule="auto"/>
      <w:outlineLvl w:val="5"/>
    </w:pPr>
    <w:rPr>
      <w:rFonts w:ascii="Arial" w:hAnsi="Arial" w:eastAsia="黑体"/>
      <w:b/>
      <w:bCs/>
      <w:sz w:val="24"/>
      <w:szCs w:val="24"/>
    </w:rPr>
  </w:style>
  <w:style w:type="paragraph" w:styleId="919" w:customStyle="1">
    <w:name w:val="标题 71"/>
    <w:basedOn w:val="702"/>
    <w:next w:val="702"/>
    <w:link w:val="931"/>
    <w:uiPriority w:val="0"/>
    <w:qFormat/>
    <w:pPr>
      <w:numPr>
        <w:ilvl w:val="6"/>
        <w:numId w:val="3"/>
      </w:numPr>
      <w:keepLines/>
      <w:keepNext/>
      <w:spacing w:before="240" w:after="64" w:line="320" w:lineRule="auto"/>
      <w:outlineLvl w:val="6"/>
    </w:pPr>
    <w:rPr>
      <w:b/>
      <w:bCs/>
      <w:sz w:val="24"/>
      <w:szCs w:val="24"/>
    </w:rPr>
  </w:style>
  <w:style w:type="paragraph" w:styleId="920" w:customStyle="1">
    <w:name w:val="标题 81"/>
    <w:basedOn w:val="702"/>
    <w:next w:val="702"/>
    <w:link w:val="930"/>
    <w:uiPriority w:val="0"/>
    <w:qFormat/>
    <w:pPr>
      <w:numPr>
        <w:ilvl w:val="7"/>
        <w:numId w:val="3"/>
      </w:numPr>
      <w:keepLines/>
      <w:keepNext/>
      <w:spacing w:before="240" w:after="64" w:line="320" w:lineRule="auto"/>
      <w:outlineLvl w:val="7"/>
    </w:pPr>
    <w:rPr>
      <w:rFonts w:ascii="Arial" w:hAnsi="Arial" w:eastAsia="黑体"/>
      <w:sz w:val="24"/>
      <w:szCs w:val="24"/>
    </w:rPr>
  </w:style>
  <w:style w:type="paragraph" w:styleId="921" w:customStyle="1">
    <w:name w:val="标题 91"/>
    <w:basedOn w:val="702"/>
    <w:next w:val="702"/>
    <w:link w:val="966"/>
    <w:uiPriority w:val="0"/>
    <w:qFormat/>
    <w:pPr>
      <w:numPr>
        <w:ilvl w:val="8"/>
        <w:numId w:val="3"/>
      </w:numPr>
      <w:keepLines/>
      <w:keepNext/>
      <w:spacing w:before="240" w:after="64" w:line="320" w:lineRule="auto"/>
      <w:outlineLvl w:val="8"/>
    </w:pPr>
    <w:rPr>
      <w:rFonts w:ascii="Arial" w:hAnsi="Arial" w:eastAsia="黑体"/>
    </w:rPr>
  </w:style>
  <w:style w:type="character" w:styleId="922" w:customStyle="1">
    <w:name w:val="默认段落字体1"/>
    <w:uiPriority w:val="1"/>
    <w:unhideWhenUsed/>
    <w:qFormat/>
  </w:style>
  <w:style w:type="table" w:styleId="923" w:customStyle="1">
    <w:name w:val="普通表格1"/>
    <w:uiPriority w:val="99"/>
    <w:unhideWhenUsed/>
    <w:qFormat/>
    <w:tblPr>
      <w:tblCellMar>
        <w:left w:w="0" w:type="dxa"/>
        <w:top w:w="0" w:type="dxa"/>
        <w:right w:w="0" w:type="dxa"/>
        <w:bottom w:w="0" w:type="dxa"/>
      </w:tblCellMar>
    </w:tblPr>
  </w:style>
  <w:style w:type="character" w:styleId="924" w:customStyle="1">
    <w:name w:val="批注框文本 Char"/>
    <w:link w:val="925"/>
    <w:uiPriority w:val="0"/>
    <w:semiHidden/>
    <w:qFormat/>
    <w:rPr>
      <w:rFonts w:ascii="Times New Roman" w:hAnsi="Times New Roman" w:eastAsia="宋体" w:cs="Times New Roman"/>
      <w:sz w:val="18"/>
      <w:szCs w:val="18"/>
    </w:rPr>
  </w:style>
  <w:style w:type="paragraph" w:styleId="925" w:customStyle="1">
    <w:name w:val="批注框文本1"/>
    <w:basedOn w:val="702"/>
    <w:link w:val="924"/>
    <w:uiPriority w:val="0"/>
    <w:semiHidden/>
    <w:qFormat/>
    <w:rPr>
      <w:sz w:val="18"/>
      <w:szCs w:val="18"/>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702"/>
    <w:link w:val="926"/>
    <w:uiPriority w:val="0"/>
    <w:qFormat/>
    <w:pPr>
      <w:contextualSpacing/>
      <w:ind w:left="720"/>
      <w:jc w:val="left"/>
      <w:widowControl/>
    </w:pPr>
    <w:rPr>
      <w:rFonts w:ascii="Calibri" w:hAnsi="Calibri"/>
      <w:sz w:val="24"/>
      <w:szCs w:val="24"/>
      <w:lang w:eastAsia="en-US" w:bidi="en-US"/>
    </w:rPr>
  </w:style>
  <w:style w:type="character" w:styleId="928" w:customStyle="1">
    <w:name w:val="正文文本 Char"/>
    <w:link w:val="929"/>
    <w:uiPriority w:val="0"/>
    <w:qFormat/>
    <w:rPr>
      <w:rFonts w:ascii="楷体_GB2312" w:hAnsi="Arial" w:eastAsia="楷体_GB2312" w:cs="Times New Roman"/>
      <w:sz w:val="28"/>
      <w:szCs w:val="28"/>
    </w:rPr>
  </w:style>
  <w:style w:type="paragraph" w:styleId="929" w:customStyle="1">
    <w:name w:val="正文文本1"/>
    <w:basedOn w:val="702"/>
    <w:link w:val="928"/>
    <w:uiPriority w:val="0"/>
    <w:qFormat/>
    <w:rPr>
      <w:rFonts w:ascii="楷体_GB2312" w:hAnsi="Arial" w:eastAsia="楷体_GB2312"/>
      <w:sz w:val="28"/>
      <w:szCs w:val="28"/>
    </w:rPr>
  </w:style>
  <w:style w:type="character" w:styleId="930" w:customStyle="1">
    <w:name w:val="标题 8 Char"/>
    <w:link w:val="920"/>
    <w:uiPriority w:val="0"/>
    <w:qFormat/>
    <w:rPr>
      <w:rFonts w:ascii="Arial" w:hAnsi="Arial" w:eastAsia="黑体" w:cs="Times New Roman"/>
      <w:sz w:val="24"/>
      <w:szCs w:val="24"/>
    </w:rPr>
  </w:style>
  <w:style w:type="character" w:styleId="931" w:customStyle="1">
    <w:name w:val="标题 7 Char"/>
    <w:link w:val="919"/>
    <w:uiPriority w:val="0"/>
    <w:qFormat/>
    <w:rPr>
      <w:rFonts w:ascii="Times New Roman" w:hAnsi="Times New Roman" w:eastAsia="宋体" w:cs="Times New Roman"/>
      <w:b/>
      <w:bCs/>
      <w:sz w:val="24"/>
      <w:szCs w:val="24"/>
    </w:rPr>
  </w:style>
  <w:style w:type="character" w:styleId="932" w:customStyle="1">
    <w:name w:val="超链接1"/>
    <w:uiPriority w:val="0"/>
    <w:qFormat/>
    <w:rPr>
      <w:color w:val="0000ff"/>
      <w:u w:val="single"/>
    </w:rPr>
  </w:style>
  <w:style w:type="character" w:styleId="933" w:customStyle="1">
    <w:name w:val="正文文本 3 Char"/>
    <w:link w:val="934"/>
    <w:uiPriority w:val="0"/>
    <w:qFormat/>
    <w:rPr>
      <w:rFonts w:ascii="仿宋_GB2312" w:hAnsi="Arial" w:eastAsia="仿宋_GB2312" w:cs="Times New Roman"/>
      <w:sz w:val="32"/>
      <w:szCs w:val="32"/>
    </w:rPr>
  </w:style>
  <w:style w:type="paragraph" w:styleId="934" w:customStyle="1">
    <w:name w:val="正文文本 31"/>
    <w:basedOn w:val="702"/>
    <w:link w:val="933"/>
    <w:uiPriority w:val="0"/>
    <w:qFormat/>
    <w:rPr>
      <w:rFonts w:ascii="仿宋_GB2312" w:hAnsi="Arial" w:eastAsia="仿宋_GB2312"/>
      <w:sz w:val="32"/>
      <w:szCs w:val="32"/>
    </w:rPr>
  </w:style>
  <w:style w:type="character" w:styleId="935" w:customStyle="1">
    <w:name w:val="font5 Char"/>
    <w:uiPriority w:val="0"/>
    <w:qFormat/>
    <w:rPr>
      <w:rFonts w:ascii="宋体" w:hAnsi="宋体" w:eastAsia="宋体"/>
      <w:sz w:val="28"/>
      <w:szCs w:val="28"/>
      <w:lang w:val="en-US" w:eastAsia="zh-CN" w:bidi="ar-SA"/>
    </w:rPr>
  </w:style>
  <w:style w:type="character" w:styleId="936" w:customStyle="1">
    <w:name w:val="标题 6 Char"/>
    <w:link w:val="918"/>
    <w:uiPriority w:val="0"/>
    <w:qFormat/>
    <w:rPr>
      <w:rFonts w:ascii="Arial" w:hAnsi="Arial" w:eastAsia="黑体" w:cs="Times New Roman"/>
      <w:b/>
      <w:bCs/>
      <w:sz w:val="24"/>
      <w:szCs w:val="24"/>
    </w:rPr>
  </w:style>
  <w:style w:type="character" w:styleId="937" w:customStyle="1">
    <w:name w:val="已访问的超链接1"/>
    <w:uiPriority w:val="0"/>
    <w:qFormat/>
    <w:rPr>
      <w:color w:val="800080"/>
      <w:u w:val="single"/>
    </w:rPr>
  </w:style>
  <w:style w:type="character" w:styleId="938" w:customStyle="1">
    <w:name w:val="标题 4 Char"/>
    <w:link w:val="915"/>
    <w:uiPriority w:val="0"/>
    <w:qFormat/>
    <w:rPr>
      <w:rFonts w:ascii="Arial" w:hAnsi="Arial" w:eastAsia="黑体" w:cs="Arial"/>
      <w:b/>
      <w:bCs/>
      <w:sz w:val="28"/>
      <w:szCs w:val="28"/>
    </w:rPr>
  </w:style>
  <w:style w:type="character" w:styleId="939" w:customStyle="1">
    <w:name w:val="二级目录 Char"/>
    <w:link w:val="940"/>
    <w:uiPriority w:val="0"/>
    <w:qFormat/>
    <w:rPr>
      <w:b/>
      <w:sz w:val="30"/>
      <w:szCs w:val="28"/>
    </w:rPr>
  </w:style>
  <w:style w:type="paragraph" w:styleId="940" w:customStyle="1">
    <w:name w:val="二级目录"/>
    <w:next w:val="702"/>
    <w:link w:val="939"/>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41" w:customStyle="1">
    <w:name w:val="页眉 Char"/>
    <w:link w:val="942"/>
    <w:uiPriority w:val="0"/>
    <w:qFormat/>
    <w:rPr>
      <w:rFonts w:ascii="Times New Roman" w:hAnsi="Times New Roman" w:eastAsia="宋体" w:cs="Times New Roman"/>
      <w:sz w:val="18"/>
      <w:szCs w:val="18"/>
    </w:rPr>
  </w:style>
  <w:style w:type="paragraph" w:styleId="942" w:customStyle="1">
    <w:name w:val="页眉1"/>
    <w:basedOn w:val="702"/>
    <w:link w:val="941"/>
    <w:uiPriority w:val="0"/>
    <w:qFormat/>
    <w:pPr>
      <w:jc w:val="center"/>
      <w:tabs>
        <w:tab w:val="center" w:pos="4153" w:leader="none"/>
        <w:tab w:val="right" w:pos="8306" w:leader="none"/>
      </w:tabs>
      <w:pBdr>
        <w:bottom w:val="single" w:color="000000" w:sz="6" w:space="1"/>
      </w:pBdr>
    </w:pPr>
    <w:rPr>
      <w:sz w:val="18"/>
      <w:szCs w:val="18"/>
    </w:rPr>
  </w:style>
  <w:style w:type="character" w:styleId="943" w:customStyle="1">
    <w:name w:val="页码1"/>
    <w:uiPriority w:val="0"/>
    <w:qFormat/>
  </w:style>
  <w:style w:type="character" w:styleId="944" w:customStyle="1">
    <w:name w:val="正文首行缩进 2 Char"/>
    <w:link w:val="945"/>
    <w:uiPriority w:val="0"/>
    <w:qFormat/>
    <w:rPr>
      <w:rFonts w:ascii="宋体" w:hAnsi="宋体" w:eastAsia="宋体" w:cs="Times New Roman"/>
      <w:sz w:val="32"/>
      <w:szCs w:val="20"/>
    </w:rPr>
  </w:style>
  <w:style w:type="paragraph" w:styleId="945" w:customStyle="1">
    <w:name w:val="正文首行缩进 21"/>
    <w:basedOn w:val="946"/>
    <w:link w:val="944"/>
    <w:uiPriority w:val="0"/>
    <w:qFormat/>
    <w:pPr>
      <w:ind w:firstLine="420"/>
      <w:spacing w:line="360" w:lineRule="auto"/>
    </w:pPr>
    <w:rPr>
      <w:rFonts w:ascii="宋体" w:hAnsi="宋体" w:eastAsia="宋体"/>
      <w:sz w:val="21"/>
      <w:szCs w:val="20"/>
    </w:rPr>
  </w:style>
  <w:style w:type="paragraph" w:styleId="946" w:customStyle="1">
    <w:name w:val="正文文本缩进1"/>
    <w:basedOn w:val="702"/>
    <w:link w:val="962"/>
    <w:uiPriority w:val="0"/>
    <w:qFormat/>
    <w:pPr>
      <w:ind w:firstLine="645"/>
    </w:pPr>
    <w:rPr>
      <w:rFonts w:ascii="楷体_GB2312" w:eastAsia="楷体_GB2312"/>
      <w:sz w:val="32"/>
      <w:szCs w:val="32"/>
    </w:rPr>
  </w:style>
  <w:style w:type="character" w:styleId="947" w:customStyle="1">
    <w:name w:val="标题 3 Char"/>
    <w:link w:val="914"/>
    <w:uiPriority w:val="0"/>
    <w:qFormat/>
    <w:rPr>
      <w:rFonts w:ascii="Times New Roman" w:hAnsi="Times New Roman" w:eastAsia="宋体" w:cs="Times New Roman"/>
      <w:b/>
      <w:bCs/>
      <w:sz w:val="32"/>
      <w:szCs w:val="32"/>
    </w:rPr>
  </w:style>
  <w:style w:type="character" w:styleId="948" w:customStyle="1">
    <w:name w:val="批注文字 Char"/>
    <w:link w:val="949"/>
    <w:uiPriority w:val="0"/>
    <w:semiHidden/>
    <w:qFormat/>
    <w:rPr>
      <w:rFonts w:ascii="Times New Roman" w:hAnsi="Times New Roman" w:eastAsia="宋体" w:cs="Times New Roman"/>
      <w:szCs w:val="21"/>
    </w:rPr>
  </w:style>
  <w:style w:type="paragraph" w:styleId="949" w:customStyle="1">
    <w:name w:val="批注文字1"/>
    <w:basedOn w:val="702"/>
    <w:link w:val="948"/>
    <w:uiPriority w:val="0"/>
    <w:semiHidden/>
    <w:qFormat/>
    <w:pPr>
      <w:jc w:val="left"/>
    </w:pPr>
  </w:style>
  <w:style w:type="character" w:styleId="950" w:customStyle="1">
    <w:name w:val="正文缩进 Char"/>
    <w:link w:val="916"/>
    <w:uiPriority w:val="0"/>
    <w:qFormat/>
    <w:rPr>
      <w:rFonts w:ascii="Times New Roman" w:hAnsi="Times New Roman" w:eastAsia="宋体" w:cs="Times New Roman"/>
      <w:szCs w:val="21"/>
    </w:rPr>
  </w:style>
  <w:style w:type="character" w:styleId="951" w:customStyle="1">
    <w:name w:val="日期 Char"/>
    <w:link w:val="952"/>
    <w:uiPriority w:val="0"/>
    <w:qFormat/>
    <w:rPr>
      <w:rFonts w:ascii="Times New Roman" w:hAnsi="Times New Roman" w:eastAsia="宋体" w:cs="Times New Roman"/>
      <w:sz w:val="24"/>
      <w:szCs w:val="24"/>
    </w:rPr>
  </w:style>
  <w:style w:type="paragraph" w:styleId="952" w:customStyle="1">
    <w:name w:val="日期1"/>
    <w:basedOn w:val="702"/>
    <w:next w:val="702"/>
    <w:link w:val="951"/>
    <w:uiPriority w:val="0"/>
    <w:qFormat/>
    <w:rPr>
      <w:sz w:val="24"/>
      <w:szCs w:val="24"/>
    </w:rPr>
  </w:style>
  <w:style w:type="character" w:styleId="953" w:customStyle="1">
    <w:name w:val="要点1"/>
    <w:uiPriority w:val="0"/>
    <w:qFormat/>
    <w:rPr>
      <w:b/>
      <w:bCs/>
    </w:rPr>
  </w:style>
  <w:style w:type="character" w:styleId="954" w:customStyle="1">
    <w:name w:val="页脚 Char"/>
    <w:link w:val="955"/>
    <w:uiPriority w:val="0"/>
    <w:qFormat/>
    <w:rPr>
      <w:rFonts w:ascii="Times New Roman" w:hAnsi="Times New Roman" w:eastAsia="宋体" w:cs="Times New Roman"/>
      <w:sz w:val="18"/>
      <w:szCs w:val="18"/>
    </w:rPr>
  </w:style>
  <w:style w:type="paragraph" w:styleId="955" w:customStyle="1">
    <w:name w:val="页脚1"/>
    <w:basedOn w:val="702"/>
    <w:link w:val="954"/>
    <w:uiPriority w:val="0"/>
    <w:qFormat/>
    <w:pPr>
      <w:jc w:val="left"/>
      <w:tabs>
        <w:tab w:val="center" w:pos="4153" w:leader="none"/>
        <w:tab w:val="right" w:pos="8306" w:leader="none"/>
      </w:tabs>
    </w:pPr>
    <w:rPr>
      <w:sz w:val="18"/>
      <w:szCs w:val="18"/>
    </w:rPr>
  </w:style>
  <w:style w:type="character" w:styleId="956" w:customStyle="1">
    <w:name w:val="批注引用1"/>
    <w:uiPriority w:val="0"/>
    <w:semiHidden/>
    <w:qFormat/>
    <w:rPr>
      <w:sz w:val="21"/>
      <w:szCs w:val="21"/>
    </w:rPr>
  </w:style>
  <w:style w:type="character" w:styleId="957" w:customStyle="1">
    <w:name w:val="标题 5 Char"/>
    <w:link w:val="917"/>
    <w:uiPriority w:val="0"/>
    <w:qFormat/>
    <w:rPr>
      <w:rFonts w:ascii="宋体" w:hAnsi="Times New Roman" w:eastAsia="宋体" w:cs="Times New Roman"/>
      <w:color w:val="000000"/>
      <w:sz w:val="28"/>
      <w:szCs w:val="28"/>
    </w:rPr>
  </w:style>
  <w:style w:type="character" w:styleId="958" w:customStyle="1">
    <w:name w:val="文档结构图 Char"/>
    <w:link w:val="959"/>
    <w:uiPriority w:val="0"/>
    <w:semiHidden/>
    <w:qFormat/>
    <w:rPr>
      <w:rFonts w:ascii="Times New Roman" w:hAnsi="Times New Roman" w:eastAsia="宋体" w:cs="Times New Roman"/>
      <w:szCs w:val="21"/>
      <w:shd w:val="clear" w:color="auto" w:fill="000080"/>
    </w:rPr>
  </w:style>
  <w:style w:type="paragraph" w:styleId="959" w:customStyle="1">
    <w:name w:val="文档结构图1"/>
    <w:basedOn w:val="702"/>
    <w:link w:val="958"/>
    <w:uiPriority w:val="0"/>
    <w:semiHidden/>
    <w:qFormat/>
    <w:pPr>
      <w:shd w:val="clear" w:color="auto" w:fill="000080"/>
    </w:pPr>
  </w:style>
  <w:style w:type="character" w:styleId="960" w:customStyle="1">
    <w:name w:val="正文文本缩进 3 Char"/>
    <w:link w:val="961"/>
    <w:uiPriority w:val="0"/>
    <w:qFormat/>
    <w:rPr>
      <w:rFonts w:ascii="Arial" w:hAnsi="Arial" w:eastAsia="仿宋_GB2312" w:cs="Arial"/>
      <w:color w:val="ffff00"/>
      <w:sz w:val="32"/>
      <w:szCs w:val="32"/>
    </w:rPr>
  </w:style>
  <w:style w:type="paragraph" w:styleId="961" w:customStyle="1">
    <w:name w:val="正文文本缩进 31"/>
    <w:basedOn w:val="702"/>
    <w:link w:val="960"/>
    <w:uiPriority w:val="0"/>
    <w:qFormat/>
    <w:pPr>
      <w:ind w:left="645" w:firstLine="645"/>
    </w:pPr>
    <w:rPr>
      <w:rFonts w:ascii="Arial" w:hAnsi="Arial" w:eastAsia="仿宋_GB2312" w:cs="Arial"/>
      <w:color w:val="ffff00"/>
      <w:sz w:val="32"/>
      <w:szCs w:val="32"/>
    </w:rPr>
  </w:style>
  <w:style w:type="character" w:styleId="962" w:customStyle="1">
    <w:name w:val="正文文本缩进 Char"/>
    <w:link w:val="946"/>
    <w:uiPriority w:val="0"/>
    <w:qFormat/>
    <w:rPr>
      <w:rFonts w:ascii="楷体_GB2312" w:hAnsi="Times New Roman" w:eastAsia="楷体_GB2312" w:cs="Times New Roman"/>
      <w:sz w:val="32"/>
      <w:szCs w:val="32"/>
    </w:rPr>
  </w:style>
  <w:style w:type="character" w:styleId="963" w:customStyle="1">
    <w:name w:val="纯文本 Char"/>
    <w:link w:val="964"/>
    <w:uiPriority w:val="0"/>
    <w:qFormat/>
    <w:rPr>
      <w:rFonts w:ascii="宋体" w:hAnsi="Courier New" w:eastAsia="宋体" w:cs="Courier New"/>
      <w:szCs w:val="21"/>
    </w:rPr>
  </w:style>
  <w:style w:type="paragraph" w:styleId="964" w:customStyle="1">
    <w:name w:val="纯文本1"/>
    <w:basedOn w:val="702"/>
    <w:link w:val="963"/>
    <w:uiPriority w:val="0"/>
    <w:qFormat/>
    <w:rPr>
      <w:rFonts w:ascii="宋体" w:hAnsi="Courier New" w:cs="Courier New"/>
    </w:rPr>
  </w:style>
  <w:style w:type="character" w:styleId="965" w:customStyle="1">
    <w:name w:val="标题 2 Char"/>
    <w:link w:val="913"/>
    <w:uiPriority w:val="0"/>
    <w:qFormat/>
    <w:rPr>
      <w:rFonts w:ascii="Arial" w:hAnsi="Arial" w:eastAsia="幼圆" w:cs="Arial"/>
      <w:b/>
      <w:bCs/>
      <w:sz w:val="44"/>
      <w:szCs w:val="44"/>
    </w:rPr>
  </w:style>
  <w:style w:type="character" w:styleId="966" w:customStyle="1">
    <w:name w:val="标题 9 Char"/>
    <w:link w:val="921"/>
    <w:uiPriority w:val="0"/>
    <w:qFormat/>
    <w:rPr>
      <w:rFonts w:ascii="Arial" w:hAnsi="Arial" w:eastAsia="黑体" w:cs="Times New Roman"/>
      <w:szCs w:val="21"/>
    </w:rPr>
  </w:style>
  <w:style w:type="character" w:styleId="967" w:customStyle="1">
    <w:name w:val="正文文本缩进 2 Char"/>
    <w:link w:val="968"/>
    <w:uiPriority w:val="0"/>
    <w:qFormat/>
    <w:rPr>
      <w:rFonts w:ascii="Arial" w:hAnsi="Arial" w:eastAsia="仿宋_GB2312" w:cs="Arial"/>
      <w:sz w:val="32"/>
      <w:szCs w:val="32"/>
    </w:rPr>
  </w:style>
  <w:style w:type="paragraph" w:styleId="968" w:customStyle="1">
    <w:name w:val="正文文本缩进 21"/>
    <w:basedOn w:val="702"/>
    <w:link w:val="967"/>
    <w:uiPriority w:val="0"/>
    <w:qFormat/>
    <w:pPr>
      <w:ind w:left="630" w:firstLine="645"/>
    </w:pPr>
    <w:rPr>
      <w:rFonts w:ascii="Arial" w:hAnsi="Arial" w:eastAsia="仿宋_GB2312" w:cs="Arial"/>
      <w:sz w:val="32"/>
      <w:szCs w:val="32"/>
    </w:rPr>
  </w:style>
  <w:style w:type="character" w:styleId="969" w:customStyle="1">
    <w:name w:val="正文文本 2 Char"/>
    <w:link w:val="970"/>
    <w:uiPriority w:val="0"/>
    <w:qFormat/>
    <w:rPr>
      <w:rFonts w:ascii="楷体_GB2312" w:hAnsi="Times New Roman" w:eastAsia="楷体_GB2312" w:cs="Times New Roman"/>
      <w:sz w:val="28"/>
      <w:szCs w:val="28"/>
    </w:rPr>
  </w:style>
  <w:style w:type="paragraph" w:styleId="970" w:customStyle="1">
    <w:name w:val="正文文本 21"/>
    <w:basedOn w:val="702"/>
    <w:link w:val="969"/>
    <w:uiPriority w:val="0"/>
    <w:qFormat/>
    <w:pPr>
      <w:jc w:val="center"/>
      <w:widowControl/>
    </w:pPr>
    <w:rPr>
      <w:rFonts w:ascii="楷体_GB2312" w:eastAsia="楷体_GB2312"/>
      <w:sz w:val="28"/>
      <w:szCs w:val="28"/>
    </w:rPr>
  </w:style>
  <w:style w:type="character" w:styleId="971" w:customStyle="1">
    <w:name w:val="批注主题 Char"/>
    <w:link w:val="972"/>
    <w:uiPriority w:val="0"/>
    <w:semiHidden/>
    <w:qFormat/>
    <w:rPr>
      <w:rFonts w:ascii="Times New Roman" w:hAnsi="Times New Roman" w:eastAsia="宋体" w:cs="Times New Roman"/>
      <w:b/>
      <w:bCs/>
      <w:szCs w:val="21"/>
    </w:rPr>
  </w:style>
  <w:style w:type="paragraph" w:styleId="972" w:customStyle="1">
    <w:name w:val="批注主题1"/>
    <w:basedOn w:val="949"/>
    <w:next w:val="949"/>
    <w:link w:val="971"/>
    <w:uiPriority w:val="0"/>
    <w:semiHidden/>
    <w:qFormat/>
    <w:rPr>
      <w:b/>
      <w:bCs/>
    </w:rPr>
  </w:style>
  <w:style w:type="character" w:styleId="973" w:customStyle="1">
    <w:name w:val="正文首行缩进 Char"/>
    <w:link w:val="974"/>
    <w:uiPriority w:val="0"/>
    <w:qFormat/>
    <w:rPr>
      <w:rFonts w:ascii="仿宋_GB2312" w:hAnsi="Times New Roman" w:eastAsia="仿宋_GB2312" w:cs="Times New Roman"/>
      <w:sz w:val="30"/>
      <w:szCs w:val="30"/>
    </w:rPr>
  </w:style>
  <w:style w:type="paragraph" w:styleId="974" w:customStyle="1">
    <w:name w:val="正文首行缩进1"/>
    <w:basedOn w:val="702"/>
    <w:link w:val="973"/>
    <w:uiPriority w:val="0"/>
    <w:qFormat/>
    <w:pPr>
      <w:ind w:firstLine="200"/>
      <w:spacing w:line="360" w:lineRule="auto"/>
    </w:pPr>
    <w:rPr>
      <w:rFonts w:ascii="仿宋_GB2312" w:eastAsia="仿宋_GB2312"/>
      <w:sz w:val="30"/>
      <w:szCs w:val="30"/>
    </w:rPr>
  </w:style>
  <w:style w:type="paragraph" w:styleId="975" w:customStyle="1">
    <w:name w:val="table_lines"/>
    <w:basedOn w:val="702"/>
    <w:uiPriority w:val="0"/>
    <w:qFormat/>
    <w:pPr>
      <w:jc w:val="left"/>
      <w:widowControl/>
    </w:pPr>
    <w:rPr>
      <w:sz w:val="20"/>
      <w:szCs w:val="20"/>
      <w:lang w:val="de-DE" w:eastAsia="de-DE"/>
    </w:rPr>
  </w:style>
  <w:style w:type="paragraph" w:styleId="976" w:customStyle="1">
    <w:name w:val="Char"/>
    <w:basedOn w:val="959"/>
    <w:uiPriority w:val="0"/>
    <w:qFormat/>
    <w:rPr>
      <w:rFonts w:ascii="Tahoma" w:hAnsi="Tahoma"/>
      <w:sz w:val="24"/>
      <w:szCs w:val="24"/>
    </w:rPr>
  </w:style>
  <w:style w:type="paragraph" w:styleId="977" w:customStyle="1">
    <w:name w:val="索引 11"/>
    <w:basedOn w:val="702"/>
    <w:next w:val="702"/>
    <w:uiPriority w:val="0"/>
    <w:semiHidden/>
    <w:qFormat/>
    <w:pPr>
      <w:spacing w:line="240" w:lineRule="atLeast"/>
    </w:pPr>
    <w:rPr>
      <w:b/>
      <w:bCs/>
    </w:rPr>
  </w:style>
  <w:style w:type="paragraph" w:styleId="978" w:customStyle="1">
    <w:name w:val="目录 51"/>
    <w:basedOn w:val="702"/>
    <w:next w:val="702"/>
    <w:uiPriority w:val="0"/>
    <w:semiHidden/>
    <w:qFormat/>
    <w:pPr>
      <w:ind w:left="840"/>
      <w:jc w:val="left"/>
    </w:pPr>
  </w:style>
  <w:style w:type="paragraph" w:styleId="979" w:customStyle="1">
    <w:name w:val="Char Char Char Char"/>
    <w:basedOn w:val="959"/>
    <w:uiPriority w:val="0"/>
    <w:qFormat/>
    <w:pPr>
      <w:spacing w:line="360" w:lineRule="auto"/>
    </w:pPr>
    <w:rPr>
      <w:rFonts w:ascii="Tahoma" w:hAnsi="Tahoma"/>
      <w:sz w:val="24"/>
      <w:szCs w:val="24"/>
    </w:rPr>
  </w:style>
  <w:style w:type="paragraph" w:styleId="980" w:customStyle="1">
    <w:name w:val="列出段落2"/>
    <w:basedOn w:val="702"/>
    <w:uiPriority w:val="0"/>
    <w:qFormat/>
    <w:pPr>
      <w:contextualSpacing/>
      <w:ind w:left="720"/>
      <w:jc w:val="left"/>
      <w:widowControl/>
    </w:pPr>
    <w:rPr>
      <w:rFonts w:ascii="Calibri" w:hAnsi="Calibri"/>
      <w:sz w:val="24"/>
      <w:szCs w:val="24"/>
      <w:lang w:eastAsia="en-US" w:bidi="en-US"/>
    </w:rPr>
  </w:style>
  <w:style w:type="paragraph" w:styleId="981" w:customStyle="1">
    <w:name w:val="普通(网站)1"/>
    <w:basedOn w:val="702"/>
    <w:uiPriority w:val="99"/>
    <w:qFormat/>
    <w:pPr>
      <w:jc w:val="left"/>
      <w:spacing w:before="100" w:beforeAutospacing="1" w:after="100" w:afterAutospacing="1"/>
      <w:widowControl/>
    </w:pPr>
    <w:rPr>
      <w:rFonts w:ascii="宋体" w:hAnsi="宋体" w:cs="宋体"/>
      <w:sz w:val="24"/>
      <w:szCs w:val="24"/>
    </w:rPr>
  </w:style>
  <w:style w:type="paragraph" w:styleId="98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83"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984" w:customStyle="1">
    <w:name w:val="xl2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目录 81"/>
    <w:basedOn w:val="702"/>
    <w:next w:val="702"/>
    <w:uiPriority w:val="0"/>
    <w:semiHidden/>
    <w:qFormat/>
    <w:pPr>
      <w:ind w:left="1470"/>
      <w:jc w:val="left"/>
    </w:pPr>
  </w:style>
  <w:style w:type="paragraph" w:styleId="986" w:customStyle="1">
    <w:name w:val="目录 91"/>
    <w:basedOn w:val="702"/>
    <w:next w:val="702"/>
    <w:uiPriority w:val="0"/>
    <w:semiHidden/>
    <w:qFormat/>
    <w:pPr>
      <w:ind w:left="1680"/>
      <w:jc w:val="left"/>
    </w:pPr>
  </w:style>
  <w:style w:type="paragraph" w:styleId="987" w:customStyle="1">
    <w:name w:val="Char1"/>
    <w:basedOn w:val="702"/>
    <w:uiPriority w:val="0"/>
    <w:qFormat/>
    <w:pPr>
      <w:ind w:firstLine="200"/>
      <w:tabs>
        <w:tab w:val="left" w:pos="360" w:leader="none"/>
      </w:tabs>
    </w:pPr>
    <w:rPr>
      <w:sz w:val="28"/>
      <w:szCs w:val="30"/>
    </w:rPr>
  </w:style>
  <w:style w:type="paragraph" w:styleId="988"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989"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990" w:customStyle="1">
    <w:name w:val="Char Char Char Char Char Char Char Char Char Char"/>
    <w:basedOn w:val="702"/>
    <w:uiPriority w:val="0"/>
    <w:qFormat/>
    <w:pPr>
      <w:spacing w:line="360" w:lineRule="auto"/>
    </w:pPr>
    <w:rPr>
      <w:sz w:val="24"/>
      <w:szCs w:val="20"/>
    </w:rPr>
  </w:style>
  <w:style w:type="paragraph" w:styleId="991" w:customStyle="1">
    <w:name w:val="xl2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table_1stline"/>
    <w:basedOn w:val="702"/>
    <w:uiPriority w:val="0"/>
    <w:qFormat/>
    <w:pPr>
      <w:jc w:val="left"/>
      <w:spacing w:before="120"/>
      <w:widowControl/>
    </w:pPr>
    <w:rPr>
      <w:bCs/>
      <w:sz w:val="20"/>
      <w:szCs w:val="20"/>
      <w:lang w:val="de-DE" w:eastAsia="de-DE"/>
    </w:rPr>
  </w:style>
  <w:style w:type="paragraph" w:styleId="993"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目录 31"/>
    <w:basedOn w:val="702"/>
    <w:next w:val="702"/>
    <w:uiPriority w:val="0"/>
    <w:semiHidden/>
    <w:qFormat/>
    <w:pPr>
      <w:ind w:left="420"/>
      <w:jc w:val="left"/>
    </w:pPr>
    <w:rPr>
      <w:i/>
      <w:iCs/>
      <w:szCs w:val="24"/>
    </w:rPr>
  </w:style>
  <w:style w:type="paragraph" w:styleId="995" w:customStyle="1">
    <w:name w:val="目录 61"/>
    <w:basedOn w:val="702"/>
    <w:next w:val="702"/>
    <w:uiPriority w:val="0"/>
    <w:semiHidden/>
    <w:qFormat/>
    <w:pPr>
      <w:ind w:left="1050"/>
      <w:jc w:val="left"/>
    </w:pPr>
  </w:style>
  <w:style w:type="paragraph" w:styleId="996" w:customStyle="1">
    <w:name w:val="目录 71"/>
    <w:basedOn w:val="702"/>
    <w:next w:val="702"/>
    <w:uiPriority w:val="0"/>
    <w:semiHidden/>
    <w:qFormat/>
    <w:pPr>
      <w:ind w:left="1260"/>
      <w:jc w:val="left"/>
    </w:pPr>
  </w:style>
  <w:style w:type="paragraph" w:styleId="997"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998"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999" w:customStyle="1">
    <w:name w:val="列表 31"/>
    <w:basedOn w:val="702"/>
    <w:uiPriority w:val="0"/>
    <w:qFormat/>
    <w:pPr>
      <w:ind w:left="100" w:hanging="200"/>
    </w:pPr>
  </w:style>
  <w:style w:type="paragraph" w:styleId="1000" w:customStyle="1">
    <w:name w:val="目录 1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1001"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1002" w:customStyle="1">
    <w:name w:val="目录 41"/>
    <w:basedOn w:val="702"/>
    <w:next w:val="702"/>
    <w:uiPriority w:val="0"/>
    <w:semiHidden/>
    <w:qFormat/>
    <w:pPr>
      <w:ind w:left="630"/>
      <w:jc w:val="left"/>
    </w:pPr>
  </w:style>
  <w:style w:type="paragraph" w:styleId="1003" w:customStyle="1">
    <w:name w:val="4"/>
    <w:basedOn w:val="702"/>
    <w:next w:val="961"/>
    <w:uiPriority w:val="0"/>
    <w:qFormat/>
    <w:pPr>
      <w:ind w:firstLine="420"/>
      <w:spacing w:line="360" w:lineRule="auto"/>
    </w:pPr>
    <w:rPr>
      <w:color w:val="ff0000"/>
      <w:sz w:val="24"/>
      <w:szCs w:val="24"/>
    </w:rPr>
  </w:style>
  <w:style w:type="paragraph" w:styleId="1004" w:customStyle="1">
    <w:name w:val="列表 21"/>
    <w:basedOn w:val="702"/>
    <w:uiPriority w:val="0"/>
    <w:qFormat/>
    <w:pPr>
      <w:ind w:left="100" w:hanging="200"/>
    </w:pPr>
  </w:style>
  <w:style w:type="paragraph" w:styleId="1005" w:customStyle="1">
    <w:name w:val="目录 21"/>
    <w:basedOn w:val="702"/>
    <w:next w:val="702"/>
    <w:uiPriority w:val="0"/>
    <w:semiHidden/>
    <w:qFormat/>
    <w:pPr>
      <w:ind w:left="210"/>
      <w:jc w:val="left"/>
    </w:pPr>
    <w:rPr>
      <w:smallCaps/>
      <w:szCs w:val="24"/>
    </w:rPr>
  </w:style>
  <w:style w:type="paragraph" w:styleId="1006" w:customStyle="1">
    <w:name w:val="Char Char Char Char1"/>
    <w:basedOn w:val="959"/>
    <w:uiPriority w:val="0"/>
    <w:qFormat/>
    <w:pPr>
      <w:spacing w:line="360" w:lineRule="auto"/>
    </w:pPr>
    <w:rPr>
      <w:rFonts w:ascii="Tahoma" w:hAnsi="Tahoma"/>
      <w:sz w:val="24"/>
      <w:szCs w:val="24"/>
    </w:rPr>
  </w:style>
  <w:style w:type="paragraph" w:styleId="1007"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1008" w:customStyle="1">
    <w:name w:val="Body Text(ch)"/>
    <w:basedOn w:val="702"/>
    <w:next w:val="929"/>
    <w:uiPriority w:val="0"/>
    <w:qFormat/>
    <w:pPr>
      <w:spacing w:after="120"/>
    </w:pPr>
    <w:rPr>
      <w:rFonts w:ascii="宋体" w:hAnsi="Arial"/>
      <w:bCs/>
      <w:iCs/>
      <w:szCs w:val="24"/>
    </w:rPr>
  </w:style>
  <w:style w:type="paragraph" w:styleId="1009" w:customStyle="1">
    <w:name w:val="列表1"/>
    <w:basedOn w:val="702"/>
    <w:uiPriority w:val="0"/>
    <w:qFormat/>
    <w:pPr>
      <w:ind w:left="200" w:hanging="200"/>
    </w:pPr>
  </w:style>
  <w:style w:type="paragraph" w:styleId="1010" w:customStyle="1">
    <w:name w:val="样式1"/>
    <w:basedOn w:val="702"/>
    <w:uiPriority w:val="0"/>
    <w:qFormat/>
    <w:pPr>
      <w:numPr>
        <w:ilvl w:val="0"/>
        <w:numId w:val="5"/>
      </w:numPr>
    </w:pPr>
    <w:rPr>
      <w:rFonts w:ascii="宋体" w:hAnsi="宋体"/>
    </w:rPr>
  </w:style>
  <w:style w:type="paragraph" w:styleId="1011" w:customStyle="1">
    <w:name w:val="xl29"/>
    <w:basedOn w:val="70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1013" w:customStyle="1">
    <w:name w:val="图表目录1"/>
    <w:basedOn w:val="702"/>
    <w:next w:val="702"/>
    <w:uiPriority w:val="0"/>
    <w:semiHidden/>
    <w:qFormat/>
    <w:pPr>
      <w:ind w:left="840" w:hanging="420"/>
    </w:pPr>
  </w:style>
  <w:style w:type="paragraph" w:styleId="1014"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xl24"/>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Char Char Char Char Char Char Char Char1"/>
    <w:basedOn w:val="702"/>
    <w:uiPriority w:val="0"/>
    <w:qFormat/>
    <w:pPr>
      <w:jc w:val="left"/>
      <w:spacing w:after="160" w:line="240" w:lineRule="exact"/>
      <w:widowControl/>
    </w:pPr>
    <w:rPr>
      <w:rFonts w:ascii="Verdana" w:hAnsi="Verdana"/>
      <w:sz w:val="20"/>
      <w:szCs w:val="20"/>
      <w:lang w:eastAsia="en-US"/>
    </w:rPr>
  </w:style>
  <w:style w:type="paragraph" w:styleId="1019"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customStyle="1">
    <w:name w:val="修订1"/>
    <w:uiPriority w:val="99"/>
    <w:semiHidden/>
    <w:qFormat/>
    <w:rPr>
      <w:rFonts w:ascii="Times New Roman" w:hAnsi="Times New Roman" w:eastAsia="宋体" w:cs="Times New Roman"/>
      <w:sz w:val="21"/>
      <w:szCs w:val="21"/>
      <w:lang w:val="en-US" w:eastAsia="zh-CN" w:bidi="ar-SA"/>
    </w:rPr>
  </w:style>
  <w:style w:type="paragraph" w:styleId="1021" w:customStyle="1">
    <w:name w:val="正文1"/>
    <w:basedOn w:val="702"/>
    <w:next w:val="702"/>
    <w:uiPriority w:val="99"/>
    <w:qFormat/>
    <w:pPr>
      <w:ind w:firstLine="480"/>
      <w:spacing w:line="440" w:lineRule="exact"/>
    </w:pPr>
    <w:rPr>
      <w:rFonts w:ascii="微软雅黑" w:hAnsi="微软雅黑" w:eastAsia="微软雅黑"/>
      <w:sz w:val="24"/>
      <w:szCs w:val="20"/>
    </w:rPr>
  </w:style>
  <w:style w:type="table" w:styleId="1022" w:customStyle="1">
    <w:name w:val="网格型1"/>
    <w:basedOn w:val="923"/>
    <w:uiPriority w:val="0"/>
    <w:qFormat/>
    <w:pPr>
      <w:jc w:val="both"/>
      <w:widowControl w:val="off"/>
    </w:pPr>
    <w:rPr>
      <w:rFonts w:ascii="Times New Roman" w:hAnsi="Times New Roman"/>
    </w:rPr>
    <w:tblPr/>
  </w:style>
  <w:style w:type="character" w:styleId="1023" w:customStyle="1">
    <w:name w:val="正文文本 Char1"/>
    <w:basedOn w:val="712"/>
    <w:uiPriority w:val="99"/>
    <w:semiHidden/>
    <w:qFormat/>
    <w:rPr>
      <w:rFonts w:ascii="Times New Roman" w:hAnsi="Times New Roman"/>
      <w:sz w:val="21"/>
      <w:szCs w:val="21"/>
    </w:rPr>
  </w:style>
  <w:style w:type="paragraph" w:styleId="1024" w:customStyle="1">
    <w:name w:val="正文2"/>
    <w:basedOn w:val="702"/>
    <w:uiPriority w:val="0"/>
    <w:qFormat/>
    <w:pPr>
      <w:spacing w:line="360" w:lineRule="auto"/>
      <w:tabs>
        <w:tab w:val="left" w:pos="6480" w:leader="none"/>
      </w:tabs>
    </w:pPr>
    <w:rPr>
      <w:sz w:val="24"/>
      <w:szCs w:val="24"/>
    </w:rPr>
  </w:style>
  <w:style w:type="paragraph" w:styleId="1025" w:customStyle="1">
    <w:name w:val="1 正文"/>
    <w:basedOn w:val="702"/>
    <w:uiPriority w:val="0"/>
    <w:qFormat/>
    <w:pPr>
      <w:ind w:firstLine="420"/>
      <w:spacing w:line="360" w:lineRule="auto"/>
    </w:pPr>
    <w:rPr>
      <w:rFonts w:ascii="宋体" w:hAnsi="宋体"/>
      <w:sz w:val="24"/>
      <w:szCs w:val="24"/>
    </w:rPr>
  </w:style>
  <w:style w:type="paragraph" w:styleId="1026" w:customStyle="1">
    <w:name w:val="A正文"/>
    <w:basedOn w:val="702"/>
    <w:uiPriority w:val="0"/>
    <w:qFormat/>
    <w:pPr>
      <w:ind w:firstLine="200"/>
      <w:spacing w:line="360" w:lineRule="auto"/>
    </w:pPr>
    <w:rPr>
      <w:rFonts w:cs="宋体"/>
      <w:sz w:val="24"/>
      <w:szCs w:val="28"/>
      <w:lang w:eastAsia="zh-Hans"/>
    </w:rPr>
  </w:style>
  <w:style w:type="paragraph" w:styleId="1027"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28"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29"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30" w:customStyle="1">
    <w:name w:val="UserStyle_11"/>
    <w:uiPriority w:val="0"/>
    <w:qFormat/>
    <w:rPr>
      <w:sz w:val="21"/>
      <w:szCs w:val="21"/>
      <w:lang w:val="en-US" w:eastAsia="zh-CN" w:bidi="ar-SA"/>
    </w:rPr>
  </w:style>
  <w:style w:type="character" w:styleId="1031" w:customStyle="1">
    <w:name w:val="NormalCharacter"/>
    <w:uiPriority w:val="0"/>
    <w:qFormat/>
  </w:style>
  <w:style w:type="character" w:styleId="1032" w:customStyle="1">
    <w:name w:val="正文缩进 字符"/>
    <w:link w:val="715"/>
    <w:uiPriority w:val="0"/>
    <w:qFormat/>
    <w:rPr>
      <w:rFonts w:ascii="Times New Roman" w:hAnsi="Times New Roman"/>
      <w:sz w:val="21"/>
      <w:szCs w:val="21"/>
    </w:rPr>
  </w:style>
  <w:style w:type="character" w:styleId="1033" w:customStyle="1">
    <w:name w:val="font31"/>
    <w:uiPriority w:val="0"/>
    <w:qFormat/>
    <w:rPr>
      <w:rFonts w:hint="eastAsia" w:ascii="宋体" w:hAnsi="宋体" w:eastAsia="宋体" w:cs="宋体"/>
      <w:color w:val="000000"/>
      <w:sz w:val="24"/>
      <w:szCs w:val="24"/>
      <w:u w:val="none"/>
    </w:rPr>
  </w:style>
  <w:style w:type="character" w:styleId="1034" w:customStyle="1">
    <w:name w:val="bot_zi"/>
    <w:uiPriority w:val="0"/>
    <w:qFormat/>
  </w:style>
  <w:style w:type="paragraph" w:styleId="1035" w:customStyle="1">
    <w:name w:val="B2"/>
    <w:basedOn w:val="702"/>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036" w:customStyle="1">
    <w:name w:val="B3"/>
    <w:basedOn w:val="1035"/>
    <w:uiPriority w:val="0"/>
    <w:qFormat/>
    <w:pPr>
      <w:outlineLvl w:val="2"/>
    </w:pPr>
    <w:rPr>
      <w:b w:val="0"/>
    </w:rPr>
  </w:style>
  <w:style w:type="paragraph" w:styleId="1037" w:customStyle="1">
    <w:name w:val="B4"/>
    <w:basedOn w:val="1036"/>
    <w:uiPriority w:val="0"/>
    <w:qFormat/>
    <w:pPr>
      <w:outlineLvl w:val="3"/>
    </w:pPr>
  </w:style>
  <w:style w:type="character" w:styleId="1038" w:customStyle="1">
    <w:name w:val="批注框文本 字符"/>
    <w:basedOn w:val="712"/>
    <w:link w:val="727"/>
    <w:uiPriority w:val="99"/>
    <w:semiHidden/>
    <w:qFormat/>
    <w:rPr>
      <w:rFonts w:ascii="Times New Roman" w:hAnsi="Times New Roman"/>
      <w:sz w:val="18"/>
      <w:szCs w:val="18"/>
    </w:rPr>
  </w:style>
  <w:style w:type="paragraph" w:styleId="1039" w:customStyle="1">
    <w:name w:val="正文缩进2"/>
    <w:basedOn w:val="702"/>
    <w:uiPriority w:val="0"/>
    <w:qFormat/>
    <w:pPr>
      <w:jc w:val="left"/>
    </w:pPr>
    <w:rPr>
      <w:rFonts w:ascii="宋体" w:hAnsi="宋体" w:cstheme="minorBidi"/>
      <w:iCs/>
      <w:sz w:val="24"/>
      <w:szCs w:val="22"/>
      <w:shd w:val="clear" w:color="auto" w:fill="ffffff" w:themeFill="background1"/>
      <w:lang w:val="zh-CN"/>
    </w:rPr>
  </w:style>
  <w:style w:type="character" w:styleId="1040" w:customStyle="1">
    <w:name w:val="日期 字符"/>
    <w:basedOn w:val="712"/>
    <w:link w:val="725"/>
    <w:uiPriority w:val="99"/>
    <w:semiHidden/>
    <w:qFormat/>
    <w:rPr>
      <w:rFonts w:ascii="Times New Roman" w:hAnsi="Times New Roman"/>
      <w:sz w:val="21"/>
      <w:szCs w:val="21"/>
    </w:rPr>
  </w:style>
  <w:style w:type="character" w:styleId="1041" w:customStyle="1">
    <w:name w:val="font11"/>
    <w:basedOn w:val="712"/>
    <w:uiPriority w:val="0"/>
    <w:qFormat/>
    <w:rPr>
      <w:rFonts w:hint="eastAsia" w:ascii="仿宋" w:hAnsi="仿宋" w:eastAsia="仿宋" w:cs="仿宋"/>
      <w:color w:val="000000"/>
      <w:sz w:val="22"/>
      <w:szCs w:val="22"/>
      <w:u w:val="none"/>
    </w:rPr>
  </w:style>
  <w:style w:type="character" w:styleId="1042" w:customStyle="1">
    <w:name w:val="font161"/>
    <w:basedOn w:val="712"/>
    <w:uiPriority w:val="0"/>
    <w:qFormat/>
    <w:rPr>
      <w:rFonts w:hint="eastAsia" w:ascii="宋体" w:hAnsi="宋体" w:eastAsia="宋体" w:cs="宋体"/>
      <w:color w:val="ff0000"/>
      <w:sz w:val="20"/>
      <w:szCs w:val="20"/>
      <w:u w:val="none"/>
    </w:rPr>
  </w:style>
  <w:style w:type="character" w:styleId="1043" w:customStyle="1">
    <w:name w:val="font81"/>
    <w:basedOn w:val="712"/>
    <w:uiPriority w:val="0"/>
    <w:qFormat/>
    <w:rPr>
      <w:rFonts w:hint="default" w:ascii="Times New Roman" w:hAnsi="Times New Roman" w:cs="Times New Roman"/>
      <w:color w:val="000000"/>
      <w:sz w:val="20"/>
      <w:szCs w:val="20"/>
      <w:u w:val="none"/>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ccgp.gov.cn/" TargetMode="External"/><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51C12-86C9-43E2-824A-2952801CF33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68</cp:revision>
  <dcterms:created xsi:type="dcterms:W3CDTF">2025-09-08T08:16:00Z</dcterms:created>
  <dcterms:modified xsi:type="dcterms:W3CDTF">2025-12-09T06:37:16Z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7136ACFE640446AFAB8D405B1C1F5A61_13</vt:lpwstr>
  </property>
  <property fmtid="{D5CDD505-2E9C-101B-9397-08002B2CF9AE}" pid="4" name="KSOTemplateDocerSaveRecord">
    <vt:lpwstr>eyJoZGlkIjoiNmFkNDlkY2Q5ODlhNWFkZjUxNWZkMzIyNzhhMDdkYzAiLCJ1c2VySWQiOiI2ODQyMDAzODQifQ==</vt:lpwstr>
  </property>
</Properties>
</file>